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黑体" w:hAnsi="黑体" w:eastAsia="黑体"/>
          <w:sz w:val="44"/>
          <w:szCs w:val="44"/>
        </w:rPr>
      </w:pPr>
      <w:r>
        <w:rPr>
          <w:rFonts w:ascii="黑体" w:hAnsi="黑体" w:eastAsia="黑体"/>
          <w:sz w:val="44"/>
          <w:szCs w:val="44"/>
        </w:rPr>
        <w:drawing>
          <wp:inline distT="0" distB="0" distL="0" distR="0">
            <wp:extent cx="296926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69260" cy="457200"/>
                    </a:xfrm>
                    <a:prstGeom prst="rect">
                      <a:avLst/>
                    </a:prstGeom>
                    <a:noFill/>
                  </pic:spPr>
                </pic:pic>
              </a:graphicData>
            </a:graphic>
          </wp:inline>
        </w:drawing>
      </w:r>
    </w:p>
    <w:p>
      <w:pPr>
        <w:pStyle w:val="4"/>
        <w:rPr>
          <w:rFonts w:hint="eastAsia" w:ascii="黑体" w:hAnsi="黑体" w:eastAsia="黑体"/>
          <w:sz w:val="44"/>
          <w:szCs w:val="44"/>
        </w:rPr>
      </w:pPr>
      <w:r>
        <w:rPr>
          <w:rFonts w:hint="eastAsia" w:ascii="黑体" w:hAnsi="黑体" w:eastAsia="黑体"/>
          <w:sz w:val="44"/>
          <w:szCs w:val="44"/>
        </w:rPr>
        <w:t>北京按摩医院职工体检服务项目</w:t>
      </w:r>
    </w:p>
    <w:p>
      <w:pPr>
        <w:pStyle w:val="4"/>
        <w:rPr>
          <w:rFonts w:ascii="黑体" w:hAnsi="黑体" w:eastAsia="黑体"/>
          <w:sz w:val="44"/>
          <w:szCs w:val="44"/>
        </w:rPr>
      </w:pPr>
      <w:r>
        <w:rPr>
          <w:rFonts w:hint="eastAsia" w:ascii="黑体" w:hAnsi="黑体" w:eastAsia="黑体"/>
          <w:sz w:val="44"/>
          <w:szCs w:val="44"/>
        </w:rPr>
        <w:t>院内遴选文件</w:t>
      </w:r>
    </w:p>
    <w:p>
      <w:pPr>
        <w:autoSpaceDE w:val="0"/>
        <w:autoSpaceDN w:val="0"/>
        <w:adjustRightInd w:val="0"/>
        <w:jc w:val="center"/>
        <w:rPr>
          <w:b/>
          <w:sz w:val="32"/>
          <w:szCs w:val="32"/>
        </w:rPr>
      </w:pPr>
    </w:p>
    <w:p>
      <w:pPr>
        <w:pStyle w:val="13"/>
        <w:rPr>
          <w:b/>
          <w:sz w:val="32"/>
          <w:szCs w:val="32"/>
        </w:rPr>
      </w:pPr>
    </w:p>
    <w:p>
      <w:pPr>
        <w:autoSpaceDE w:val="0"/>
        <w:autoSpaceDN w:val="0"/>
        <w:adjustRightInd w:val="0"/>
        <w:jc w:val="center"/>
        <w:rPr>
          <w:rFonts w:hint="eastAsia" w:ascii="黑体" w:hAnsi="Arial" w:eastAsiaTheme="minorEastAsia"/>
          <w:color w:val="FF0000"/>
          <w:kern w:val="0"/>
          <w:sz w:val="30"/>
          <w:szCs w:val="30"/>
          <w:lang w:val="en-US" w:eastAsia="zh-CN"/>
        </w:rPr>
      </w:pPr>
      <w:r>
        <w:rPr>
          <w:rFonts w:hint="eastAsia"/>
          <w:b/>
          <w:sz w:val="32"/>
          <w:szCs w:val="32"/>
        </w:rPr>
        <w:t>项目编号：BJAMYY-2</w:t>
      </w:r>
      <w:r>
        <w:rPr>
          <w:b/>
          <w:sz w:val="32"/>
          <w:szCs w:val="32"/>
        </w:rPr>
        <w:t>02</w:t>
      </w:r>
      <w:r>
        <w:rPr>
          <w:rFonts w:hint="eastAsia"/>
          <w:b/>
          <w:sz w:val="32"/>
          <w:szCs w:val="32"/>
          <w:lang w:val="en-US" w:eastAsia="zh-CN"/>
        </w:rPr>
        <w:t>4</w:t>
      </w:r>
      <w:r>
        <w:rPr>
          <w:rFonts w:hint="eastAsia"/>
          <w:b/>
          <w:color w:val="000000" w:themeColor="text1"/>
          <w:sz w:val="32"/>
          <w:szCs w:val="32"/>
          <w14:textFill>
            <w14:solidFill>
              <w14:schemeClr w14:val="tx1"/>
            </w14:solidFill>
          </w14:textFill>
        </w:rPr>
        <w:t>-0</w:t>
      </w:r>
      <w:r>
        <w:rPr>
          <w:rFonts w:hint="eastAsia"/>
          <w:b/>
          <w:color w:val="000000" w:themeColor="text1"/>
          <w:sz w:val="32"/>
          <w:szCs w:val="32"/>
          <w:lang w:val="en-US" w:eastAsia="zh-CN"/>
          <w14:textFill>
            <w14:solidFill>
              <w14:schemeClr w14:val="tx1"/>
            </w14:solidFill>
          </w14:textFill>
        </w:rPr>
        <w:t>6</w:t>
      </w:r>
      <w:r>
        <w:rPr>
          <w:rFonts w:hint="eastAsia"/>
          <w:b/>
          <w:color w:val="000000" w:themeColor="text1"/>
          <w:sz w:val="32"/>
          <w:szCs w:val="32"/>
          <w14:textFill>
            <w14:solidFill>
              <w14:schemeClr w14:val="tx1"/>
            </w14:solidFill>
          </w14:textFill>
        </w:rPr>
        <w:t>-0</w:t>
      </w:r>
      <w:r>
        <w:rPr>
          <w:rFonts w:hint="eastAsia"/>
          <w:b/>
          <w:color w:val="000000" w:themeColor="text1"/>
          <w:sz w:val="32"/>
          <w:szCs w:val="32"/>
          <w:lang w:val="en-US" w:eastAsia="zh-CN"/>
          <w14:textFill>
            <w14:solidFill>
              <w14:schemeClr w14:val="tx1"/>
            </w14:solidFill>
          </w14:textFill>
        </w:rPr>
        <w:t>2</w:t>
      </w:r>
    </w:p>
    <w:p>
      <w:pPr>
        <w:pStyle w:val="4"/>
        <w:rPr>
          <w:rFonts w:ascii="黑体" w:hAnsi="黑体" w:eastAsia="黑体"/>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jc w:val="center"/>
        <w:rPr>
          <w:b/>
          <w:bCs/>
          <w:sz w:val="32"/>
          <w:szCs w:val="32"/>
        </w:rPr>
      </w:pPr>
      <w:r>
        <w:rPr>
          <w:rFonts w:hint="eastAsia"/>
          <w:b/>
          <w:bCs/>
          <w:sz w:val="32"/>
          <w:szCs w:val="32"/>
        </w:rPr>
        <w:t>采购单位：北京按摩医院</w:t>
      </w:r>
    </w:p>
    <w:p>
      <w:pPr>
        <w:spacing w:line="360" w:lineRule="auto"/>
        <w:jc w:val="center"/>
        <w:rPr>
          <w:rFonts w:ascii="黑体" w:hAnsi="Arial" w:eastAsia="黑体" w:cs="黑体"/>
          <w:kern w:val="0"/>
          <w:sz w:val="36"/>
          <w:szCs w:val="36"/>
          <w:lang w:val="zh-CN"/>
        </w:rPr>
      </w:pPr>
      <w:r>
        <w:rPr>
          <w:rFonts w:hint="eastAsia"/>
          <w:b/>
          <w:bCs/>
          <w:sz w:val="32"/>
          <w:szCs w:val="32"/>
        </w:rPr>
        <w:t>20</w:t>
      </w:r>
      <w:r>
        <w:rPr>
          <w:b/>
          <w:bCs/>
          <w:sz w:val="32"/>
          <w:szCs w:val="32"/>
        </w:rPr>
        <w:t>2</w:t>
      </w:r>
      <w:r>
        <w:rPr>
          <w:rFonts w:hint="eastAsia"/>
          <w:b/>
          <w:bCs/>
          <w:sz w:val="32"/>
          <w:szCs w:val="32"/>
          <w:lang w:val="en-US" w:eastAsia="zh-CN"/>
        </w:rPr>
        <w:t>4</w:t>
      </w:r>
      <w:r>
        <w:rPr>
          <w:rFonts w:hint="eastAsia"/>
          <w:b/>
          <w:bCs/>
          <w:sz w:val="32"/>
          <w:szCs w:val="32"/>
        </w:rPr>
        <w:t>年0</w:t>
      </w:r>
      <w:r>
        <w:rPr>
          <w:rFonts w:hint="eastAsia"/>
          <w:b/>
          <w:bCs/>
          <w:sz w:val="32"/>
          <w:szCs w:val="32"/>
          <w:lang w:val="en-US" w:eastAsia="zh-CN"/>
        </w:rPr>
        <w:t>6</w:t>
      </w:r>
      <w:r>
        <w:rPr>
          <w:rFonts w:hint="eastAsia"/>
          <w:b/>
          <w:bCs/>
          <w:sz w:val="32"/>
          <w:szCs w:val="32"/>
        </w:rPr>
        <w:t>月</w:t>
      </w:r>
    </w:p>
    <w:p>
      <w:pPr>
        <w:autoSpaceDE w:val="0"/>
        <w:autoSpaceDN w:val="0"/>
        <w:adjustRightInd w:val="0"/>
        <w:jc w:val="both"/>
        <w:rPr>
          <w:rFonts w:ascii="黑体" w:hAnsi="Arial" w:eastAsia="黑体" w:cs="黑体"/>
          <w:kern w:val="0"/>
          <w:sz w:val="36"/>
          <w:szCs w:val="36"/>
          <w:lang w:val="zh-CN"/>
        </w:rPr>
      </w:pPr>
    </w:p>
    <w:p>
      <w:pPr>
        <w:pStyle w:val="18"/>
        <w:rPr>
          <w:rFonts w:ascii="黑体" w:hAnsi="Arial" w:eastAsia="黑体" w:cs="黑体"/>
          <w:kern w:val="0"/>
          <w:sz w:val="36"/>
          <w:szCs w:val="36"/>
          <w:lang w:val="zh-CN"/>
        </w:rPr>
      </w:pPr>
    </w:p>
    <w:p>
      <w:pPr>
        <w:pStyle w:val="18"/>
        <w:rPr>
          <w:rFonts w:ascii="黑体" w:hAnsi="Arial" w:eastAsia="黑体" w:cs="黑体"/>
          <w:kern w:val="0"/>
          <w:sz w:val="36"/>
          <w:szCs w:val="36"/>
          <w:lang w:val="zh-CN"/>
        </w:rPr>
      </w:pPr>
    </w:p>
    <w:p>
      <w:pPr>
        <w:pStyle w:val="18"/>
        <w:rPr>
          <w:rFonts w:ascii="黑体" w:hAnsi="Arial" w:eastAsia="黑体" w:cs="黑体"/>
          <w:kern w:val="0"/>
          <w:sz w:val="36"/>
          <w:szCs w:val="36"/>
          <w:lang w:val="zh-CN"/>
        </w:rPr>
      </w:pPr>
    </w:p>
    <w:p>
      <w:pPr>
        <w:autoSpaceDE w:val="0"/>
        <w:autoSpaceDN w:val="0"/>
        <w:adjustRightInd w:val="0"/>
        <w:jc w:val="center"/>
        <w:rPr>
          <w:rFonts w:hint="eastAsia" w:ascii="黑体" w:hAnsi="Arial" w:eastAsia="黑体" w:cs="黑体"/>
          <w:kern w:val="0"/>
          <w:sz w:val="36"/>
          <w:szCs w:val="36"/>
          <w:lang w:val="zh-CN"/>
        </w:rPr>
      </w:pPr>
    </w:p>
    <w:p>
      <w:pPr>
        <w:autoSpaceDE w:val="0"/>
        <w:autoSpaceDN w:val="0"/>
        <w:adjustRightInd w:val="0"/>
        <w:jc w:val="center"/>
        <w:rPr>
          <w:rFonts w:ascii="黑体" w:hAnsi="Arial" w:eastAsia="黑体"/>
          <w:kern w:val="0"/>
          <w:sz w:val="36"/>
          <w:szCs w:val="36"/>
          <w:lang w:val="zh-CN"/>
        </w:rPr>
      </w:pPr>
      <w:r>
        <w:rPr>
          <w:rFonts w:hint="eastAsia" w:ascii="黑体" w:hAnsi="Arial" w:eastAsia="黑体" w:cs="黑体"/>
          <w:kern w:val="0"/>
          <w:sz w:val="36"/>
          <w:szCs w:val="36"/>
          <w:lang w:val="zh-CN"/>
        </w:rPr>
        <w:t>目 录</w:t>
      </w:r>
    </w:p>
    <w:p>
      <w:pPr>
        <w:autoSpaceDE w:val="0"/>
        <w:autoSpaceDN w:val="0"/>
        <w:adjustRightInd w:val="0"/>
        <w:spacing w:line="360" w:lineRule="auto"/>
        <w:jc w:val="center"/>
        <w:rPr>
          <w:kern w:val="0"/>
          <w:lang w:val="zh-CN"/>
        </w:rPr>
      </w:pPr>
    </w:p>
    <w:p>
      <w:pPr>
        <w:pStyle w:val="54"/>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第一章  院内遴选邀请</w:t>
      </w:r>
      <w:r>
        <w:fldChar w:fldCharType="end"/>
      </w:r>
    </w:p>
    <w:p>
      <w:pPr>
        <w:pStyle w:val="54"/>
        <w:tabs>
          <w:tab w:val="right" w:leader="dot" w:pos="9746"/>
        </w:tabs>
        <w:spacing w:line="360" w:lineRule="auto"/>
        <w:jc w:val="left"/>
      </w:pPr>
      <w:r>
        <w:fldChar w:fldCharType="begin"/>
      </w:r>
      <w:r>
        <w:instrText xml:space="preserve"> HYPERLINK \l "_Toc31724" </w:instrText>
      </w:r>
      <w:r>
        <w:fldChar w:fldCharType="separate"/>
      </w:r>
      <w:r>
        <w:rPr>
          <w:rFonts w:hint="eastAsia"/>
        </w:rPr>
        <w:t>第二章  遴选前附表</w:t>
      </w:r>
      <w:r>
        <w:fldChar w:fldCharType="end"/>
      </w:r>
    </w:p>
    <w:p>
      <w:pPr>
        <w:pStyle w:val="54"/>
        <w:tabs>
          <w:tab w:val="right" w:leader="dot" w:pos="9746"/>
        </w:tabs>
        <w:spacing w:line="360" w:lineRule="auto"/>
        <w:jc w:val="left"/>
      </w:pPr>
      <w:r>
        <w:fldChar w:fldCharType="begin"/>
      </w:r>
      <w:r>
        <w:instrText xml:space="preserve"> HYPERLINK \l "_Toc4917" </w:instrText>
      </w:r>
      <w:r>
        <w:fldChar w:fldCharType="separate"/>
      </w:r>
      <w:r>
        <w:rPr>
          <w:rFonts w:hint="eastAsia"/>
        </w:rPr>
        <w:t>第三章  评定成交标准</w:t>
      </w:r>
      <w:r>
        <w:fldChar w:fldCharType="end"/>
      </w:r>
    </w:p>
    <w:p>
      <w:pPr>
        <w:pStyle w:val="54"/>
        <w:tabs>
          <w:tab w:val="right" w:leader="dot" w:pos="9746"/>
        </w:tabs>
        <w:spacing w:line="360" w:lineRule="auto"/>
        <w:jc w:val="left"/>
      </w:pPr>
      <w:r>
        <w:fldChar w:fldCharType="begin"/>
      </w:r>
      <w:r>
        <w:instrText xml:space="preserve"> HYPERLINK \l "_Toc9936" </w:instrText>
      </w:r>
      <w:r>
        <w:fldChar w:fldCharType="separate"/>
      </w:r>
      <w:r>
        <w:rPr>
          <w:rFonts w:hint="eastAsia"/>
        </w:rPr>
        <w:t>第四章  采购需求</w:t>
      </w:r>
      <w:r>
        <w:fldChar w:fldCharType="end"/>
      </w:r>
    </w:p>
    <w:p>
      <w:pPr>
        <w:pStyle w:val="54"/>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第五章  合同条款</w:t>
      </w:r>
      <w:r>
        <w:fldChar w:fldCharType="end"/>
      </w:r>
    </w:p>
    <w:p>
      <w:pPr>
        <w:pStyle w:val="54"/>
        <w:tabs>
          <w:tab w:val="right" w:leader="dot" w:pos="9746"/>
        </w:tabs>
        <w:spacing w:line="360" w:lineRule="auto"/>
        <w:jc w:val="left"/>
      </w:pPr>
      <w:r>
        <w:fldChar w:fldCharType="begin"/>
      </w:r>
      <w:r>
        <w:instrText xml:space="preserve"> HYPERLINK \l "_Toc31724" </w:instrText>
      </w:r>
      <w:r>
        <w:fldChar w:fldCharType="separate"/>
      </w:r>
      <w:r>
        <w:rPr>
          <w:rFonts w:hint="eastAsia"/>
        </w:rPr>
        <w:t xml:space="preserve">第六章  </w:t>
      </w:r>
      <w:r>
        <w:rPr>
          <w:rFonts w:hint="eastAsia"/>
          <w:lang w:val="en-US" w:eastAsia="zh-CN"/>
        </w:rPr>
        <w:t>附件-</w:t>
      </w:r>
      <w:r>
        <w:rPr>
          <w:rFonts w:hint="eastAsia"/>
        </w:rPr>
        <w:t>响应文件格式</w:t>
      </w:r>
      <w:r>
        <w:fldChar w:fldCharType="end"/>
      </w:r>
    </w:p>
    <w:p>
      <w:pPr>
        <w:pStyle w:val="54"/>
        <w:tabs>
          <w:tab w:val="right" w:leader="dot" w:pos="9746"/>
        </w:tabs>
        <w:spacing w:line="360" w:lineRule="auto"/>
        <w:jc w:val="left"/>
      </w:pPr>
    </w:p>
    <w:p>
      <w:pPr>
        <w:pStyle w:val="54"/>
        <w:tabs>
          <w:tab w:val="right" w:leader="dot" w:pos="9746"/>
        </w:tabs>
        <w:spacing w:line="360" w:lineRule="auto"/>
        <w:jc w:val="left"/>
      </w:pPr>
    </w:p>
    <w:p>
      <w:pPr>
        <w:jc w:val="left"/>
      </w:pPr>
      <w:r>
        <w:rPr>
          <w:rFonts w:ascii="宋体" w:hAnsi="宋体" w:eastAsia="宋体" w:cs="宋体"/>
          <w:sz w:val="24"/>
          <w:szCs w:val="24"/>
        </w:rPr>
        <w:fldChar w:fldCharType="end"/>
      </w:r>
    </w:p>
    <w:p>
      <w:pPr>
        <w:autoSpaceDE w:val="0"/>
        <w:autoSpaceDN w:val="0"/>
        <w:adjustRightInd w:val="0"/>
        <w:spacing w:line="480" w:lineRule="auto"/>
        <w:rPr>
          <w:rFonts w:ascii="宋体" w:hAnsi="宋体" w:eastAsia="宋体" w:cs="宋体"/>
          <w:sz w:val="24"/>
          <w:szCs w:val="24"/>
        </w:rPr>
      </w:pPr>
      <w:r>
        <w:rPr>
          <w:rFonts w:ascii="宋体" w:hAnsi="宋体" w:eastAsia="宋体" w:cs="宋体"/>
          <w:sz w:val="24"/>
          <w:szCs w:val="24"/>
        </w:rPr>
        <w:fldChar w:fldCharType="end"/>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18"/>
        <w:rPr>
          <w:sz w:val="24"/>
          <w:szCs w:val="24"/>
        </w:rPr>
      </w:pPr>
    </w:p>
    <w:p>
      <w:pPr>
        <w:pStyle w:val="18"/>
        <w:rPr>
          <w:sz w:val="24"/>
          <w:szCs w:val="24"/>
        </w:rPr>
      </w:pPr>
    </w:p>
    <w:p>
      <w:pPr>
        <w:pStyle w:val="18"/>
        <w:rPr>
          <w:sz w:val="24"/>
          <w:szCs w:val="24"/>
        </w:rPr>
      </w:pPr>
    </w:p>
    <w:p>
      <w:pPr>
        <w:pStyle w:val="18"/>
        <w:rPr>
          <w:sz w:val="24"/>
          <w:szCs w:val="24"/>
        </w:rPr>
      </w:pPr>
    </w:p>
    <w:p>
      <w:pPr>
        <w:rPr>
          <w:sz w:val="24"/>
          <w:szCs w:val="24"/>
        </w:rPr>
      </w:pPr>
    </w:p>
    <w:p>
      <w:pPr>
        <w:rPr>
          <w:sz w:val="24"/>
          <w:szCs w:val="24"/>
        </w:rPr>
      </w:pPr>
    </w:p>
    <w:p>
      <w:pPr>
        <w:rPr>
          <w:sz w:val="24"/>
          <w:szCs w:val="24"/>
        </w:rPr>
      </w:pPr>
    </w:p>
    <w:p>
      <w:pPr>
        <w:rPr>
          <w:sz w:val="24"/>
          <w:szCs w:val="24"/>
        </w:rPr>
      </w:pPr>
    </w:p>
    <w:p>
      <w:pPr>
        <w:pStyle w:val="13"/>
      </w:pPr>
    </w:p>
    <w:p>
      <w:pPr>
        <w:rPr>
          <w:sz w:val="24"/>
          <w:szCs w:val="24"/>
        </w:rPr>
      </w:pPr>
    </w:p>
    <w:p>
      <w:pPr>
        <w:rPr>
          <w:sz w:val="24"/>
          <w:szCs w:val="24"/>
        </w:rPr>
      </w:pPr>
    </w:p>
    <w:p>
      <w:pPr>
        <w:pStyle w:val="4"/>
        <w:numPr>
          <w:ilvl w:val="0"/>
          <w:numId w:val="1"/>
        </w:numPr>
      </w:pPr>
      <w:bookmarkStart w:id="0" w:name="_Toc508200434"/>
      <w:bookmarkStart w:id="1" w:name="_Toc16497"/>
      <w:bookmarkStart w:id="2" w:name="_Toc5065"/>
      <w:bookmarkStart w:id="3" w:name="_Toc27905"/>
      <w:r>
        <w:rPr>
          <w:rFonts w:hint="eastAsia"/>
        </w:rPr>
        <w:t>院内遴选邀请</w:t>
      </w:r>
      <w:bookmarkEnd w:id="0"/>
      <w:bookmarkEnd w:id="1"/>
      <w:bookmarkEnd w:id="2"/>
      <w:bookmarkEnd w:id="3"/>
    </w:p>
    <w:p>
      <w:pPr>
        <w:ind w:firstLine="840" w:firstLineChars="400"/>
        <w:rPr>
          <w:rFonts w:hint="eastAsia" w:asciiTheme="minorEastAsia" w:hAnsiTheme="minorEastAsia" w:cstheme="minorBidi"/>
          <w:kern w:val="0"/>
          <w:sz w:val="21"/>
          <w:szCs w:val="21"/>
          <w:lang w:val="en-US" w:eastAsia="zh-CN" w:bidi="ar-SA"/>
        </w:rPr>
      </w:pPr>
      <w:r>
        <w:rPr>
          <w:rFonts w:hint="eastAsia" w:asciiTheme="minorEastAsia" w:hAnsiTheme="minorEastAsia"/>
          <w:kern w:val="0"/>
          <w:szCs w:val="21"/>
          <w:lang w:val="en-US" w:eastAsia="zh-CN"/>
        </w:rPr>
        <w:t>项目</w:t>
      </w:r>
      <w:r>
        <w:rPr>
          <w:rFonts w:hint="eastAsia" w:asciiTheme="minorEastAsia" w:hAnsiTheme="minorEastAsia" w:eastAsiaTheme="minorEastAsia" w:cstheme="minorBidi"/>
          <w:kern w:val="0"/>
          <w:sz w:val="21"/>
          <w:szCs w:val="21"/>
          <w:lang w:val="en-US" w:eastAsia="zh-CN" w:bidi="ar-SA"/>
        </w:rPr>
        <w:t>名称：</w:t>
      </w:r>
      <w:r>
        <w:rPr>
          <w:rFonts w:hint="eastAsia" w:asciiTheme="minorEastAsia" w:hAnsiTheme="minorEastAsia"/>
          <w:kern w:val="0"/>
          <w:szCs w:val="21"/>
        </w:rPr>
        <w:t>北京按摩医院</w:t>
      </w:r>
      <w:r>
        <w:rPr>
          <w:rFonts w:hint="eastAsia" w:asciiTheme="minorEastAsia" w:hAnsiTheme="minorEastAsia"/>
          <w:kern w:val="0"/>
          <w:sz w:val="21"/>
          <w:szCs w:val="21"/>
          <w:lang w:val="en-US" w:eastAsia="zh-CN"/>
        </w:rPr>
        <w:t>职工体检</w:t>
      </w:r>
      <w:r>
        <w:rPr>
          <w:rFonts w:hint="eastAsia" w:asciiTheme="minorEastAsia" w:hAnsiTheme="minorEastAsia"/>
          <w:kern w:val="0"/>
          <w:szCs w:val="21"/>
        </w:rPr>
        <w:t>服务项目</w:t>
      </w:r>
    </w:p>
    <w:p>
      <w:pPr>
        <w:pStyle w:val="44"/>
        <w:numPr>
          <w:ilvl w:val="0"/>
          <w:numId w:val="0"/>
        </w:numPr>
        <w:spacing w:line="480" w:lineRule="auto"/>
        <w:ind w:left="425" w:leftChars="0" w:firstLine="420" w:firstLineChars="200"/>
        <w:rPr>
          <w:rFonts w:hint="default" w:asciiTheme="minorEastAsia" w:hAnsiTheme="minorEastAsia"/>
          <w:kern w:val="0"/>
          <w:szCs w:val="21"/>
          <w:lang w:val="en-US" w:eastAsia="zh-CN"/>
        </w:rPr>
      </w:pPr>
      <w:r>
        <w:rPr>
          <w:rFonts w:hint="eastAsia" w:asciiTheme="minorEastAsia" w:hAnsiTheme="minorEastAsia"/>
          <w:kern w:val="0"/>
          <w:szCs w:val="21"/>
          <w:lang w:val="en-US" w:eastAsia="zh-CN"/>
        </w:rPr>
        <w:t>项目编号：</w:t>
      </w:r>
      <w:bookmarkStart w:id="4" w:name="_Hlk112684415"/>
      <w:r>
        <w:rPr>
          <w:rFonts w:hint="eastAsia" w:asciiTheme="minorEastAsia" w:hAnsiTheme="minorEastAsia"/>
          <w:kern w:val="0"/>
          <w:szCs w:val="21"/>
          <w:lang w:val="en-US" w:eastAsia="zh-CN"/>
        </w:rPr>
        <w:t>BJAMYY-2024-</w:t>
      </w:r>
      <w:bookmarkEnd w:id="4"/>
      <w:r>
        <w:rPr>
          <w:rFonts w:hint="eastAsia" w:asciiTheme="minorEastAsia" w:hAnsiTheme="minorEastAsia"/>
          <w:kern w:val="0"/>
          <w:szCs w:val="21"/>
          <w:lang w:val="en-US" w:eastAsia="zh-CN"/>
        </w:rPr>
        <w:t>06-02</w:t>
      </w:r>
    </w:p>
    <w:p>
      <w:pPr>
        <w:spacing w:line="360" w:lineRule="auto"/>
        <w:ind w:firstLine="422" w:firstLineChars="200"/>
        <w:rPr>
          <w:rFonts w:asciiTheme="minorEastAsia" w:hAnsiTheme="minorEastAsia"/>
          <w:b/>
          <w:kern w:val="0"/>
          <w:szCs w:val="21"/>
        </w:rPr>
      </w:pPr>
      <w:r>
        <w:rPr>
          <w:rFonts w:hint="eastAsia" w:asciiTheme="minorEastAsia" w:hAnsiTheme="minorEastAsia"/>
          <w:b/>
          <w:kern w:val="0"/>
          <w:szCs w:val="21"/>
        </w:rPr>
        <w:t>一、对供应商资格要求（供应商资格条件）:</w:t>
      </w:r>
    </w:p>
    <w:p>
      <w:pPr>
        <w:pStyle w:val="44"/>
        <w:numPr>
          <w:ilvl w:val="0"/>
          <w:numId w:val="2"/>
        </w:numPr>
        <w:spacing w:line="480" w:lineRule="auto"/>
        <w:ind w:firstLineChars="0"/>
        <w:rPr>
          <w:rFonts w:asciiTheme="minorEastAsia" w:hAnsiTheme="minorEastAsia"/>
          <w:kern w:val="0"/>
          <w:szCs w:val="21"/>
        </w:rPr>
      </w:pPr>
      <w:bookmarkStart w:id="5" w:name="_Toc1861"/>
      <w:bookmarkStart w:id="6" w:name="_Toc31724"/>
      <w:bookmarkStart w:id="7" w:name="_Toc508200435"/>
      <w:bookmarkStart w:id="8" w:name="_Toc21499"/>
      <w:bookmarkStart w:id="9" w:name="_Hlk55129603"/>
      <w:r>
        <w:rPr>
          <w:rFonts w:hint="eastAsia" w:asciiTheme="minorEastAsia" w:hAnsiTheme="minorEastAsia"/>
          <w:kern w:val="0"/>
          <w:szCs w:val="21"/>
        </w:rPr>
        <w:t>供应商</w:t>
      </w:r>
      <w:r>
        <w:rPr>
          <w:rFonts w:asciiTheme="minorEastAsia" w:hAnsiTheme="minorEastAsia"/>
          <w:kern w:val="0"/>
          <w:szCs w:val="21"/>
        </w:rPr>
        <w:t>营业执照副本的复印件、税务登记证复印件、组织机构代码证复印件；或</w:t>
      </w:r>
      <w:r>
        <w:rPr>
          <w:rFonts w:hint="eastAsia" w:asciiTheme="minorEastAsia" w:hAnsiTheme="minorEastAsia"/>
          <w:kern w:val="0"/>
          <w:szCs w:val="21"/>
        </w:rPr>
        <w:t>三</w:t>
      </w:r>
      <w:r>
        <w:rPr>
          <w:rFonts w:asciiTheme="minorEastAsia" w:hAnsiTheme="minorEastAsia"/>
          <w:kern w:val="0"/>
          <w:szCs w:val="21"/>
        </w:rPr>
        <w:t>证合一的营业执照副本复印件（前述</w:t>
      </w:r>
      <w:r>
        <w:rPr>
          <w:rFonts w:hint="eastAsia" w:asciiTheme="minorEastAsia" w:hAnsiTheme="minorEastAsia"/>
          <w:kern w:val="0"/>
          <w:szCs w:val="21"/>
        </w:rPr>
        <w:t>资质</w:t>
      </w:r>
      <w:r>
        <w:rPr>
          <w:rFonts w:asciiTheme="minorEastAsia" w:hAnsiTheme="minorEastAsia"/>
          <w:kern w:val="0"/>
          <w:szCs w:val="21"/>
        </w:rPr>
        <w:t>证书需在有效期内、应清晰可辨，并加盖</w:t>
      </w:r>
      <w:r>
        <w:rPr>
          <w:rFonts w:hint="eastAsia" w:asciiTheme="minorEastAsia" w:hAnsiTheme="minorEastAsia"/>
          <w:kern w:val="0"/>
          <w:szCs w:val="21"/>
        </w:rPr>
        <w:t>供应商</w:t>
      </w:r>
      <w:r>
        <w:rPr>
          <w:rFonts w:asciiTheme="minorEastAsia" w:hAnsiTheme="minorEastAsia"/>
          <w:kern w:val="0"/>
          <w:szCs w:val="21"/>
        </w:rPr>
        <w:t>公章）</w:t>
      </w:r>
      <w:r>
        <w:rPr>
          <w:rFonts w:hint="eastAsia" w:asciiTheme="minorEastAsia" w:hAnsiTheme="minorEastAsia"/>
          <w:kern w:val="0"/>
          <w:szCs w:val="21"/>
        </w:rPr>
        <w:t>；</w:t>
      </w:r>
    </w:p>
    <w:p>
      <w:pPr>
        <w:pStyle w:val="44"/>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法定代表人身份证明复印件；</w:t>
      </w:r>
    </w:p>
    <w:p>
      <w:pPr>
        <w:pStyle w:val="44"/>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以</w:t>
      </w:r>
      <w:r>
        <w:rPr>
          <w:rFonts w:hint="eastAsia" w:asciiTheme="minorEastAsia" w:hAnsiTheme="minorEastAsia"/>
          <w:kern w:val="0"/>
          <w:szCs w:val="21"/>
        </w:rPr>
        <w:t>遴选</w:t>
      </w:r>
      <w:r>
        <w:rPr>
          <w:rFonts w:asciiTheme="minorEastAsia" w:hAnsiTheme="minorEastAsia"/>
          <w:kern w:val="0"/>
          <w:szCs w:val="21"/>
        </w:rPr>
        <w:t>日期计算，近六个月内任何一个月依法缴纳社会保障资金的证明单据的复印件，和近六个月内任何一个月依法缴纳税收的证明单据的复印件</w:t>
      </w:r>
      <w:r>
        <w:rPr>
          <w:rFonts w:hint="eastAsia" w:asciiTheme="minorEastAsia" w:hAnsiTheme="minorEastAsia"/>
          <w:kern w:val="0"/>
          <w:szCs w:val="21"/>
        </w:rPr>
        <w:t>；</w:t>
      </w:r>
    </w:p>
    <w:p>
      <w:pPr>
        <w:pStyle w:val="44"/>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参加本次采购活动前三年内在经营活动中没有重大违法记录的声明</w:t>
      </w:r>
      <w:r>
        <w:rPr>
          <w:rFonts w:hint="eastAsia" w:asciiTheme="minorEastAsia" w:hAnsiTheme="minorEastAsia"/>
          <w:kern w:val="0"/>
          <w:szCs w:val="21"/>
        </w:rPr>
        <w:t>；</w:t>
      </w:r>
    </w:p>
    <w:p>
      <w:pPr>
        <w:pStyle w:val="44"/>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有效的</w:t>
      </w:r>
      <w:r>
        <w:rPr>
          <w:rFonts w:hint="eastAsia" w:asciiTheme="minorEastAsia" w:hAnsiTheme="minorEastAsia"/>
          <w:kern w:val="0"/>
          <w:szCs w:val="21"/>
        </w:rPr>
        <w:t>供应商</w:t>
      </w:r>
      <w:r>
        <w:rPr>
          <w:rFonts w:asciiTheme="minorEastAsia" w:hAnsiTheme="minorEastAsia"/>
          <w:kern w:val="0"/>
          <w:szCs w:val="21"/>
        </w:rPr>
        <w:t>法定代表人授权书原件</w:t>
      </w:r>
      <w:r>
        <w:rPr>
          <w:rFonts w:hint="eastAsia" w:asciiTheme="minorEastAsia" w:hAnsiTheme="minorEastAsia"/>
          <w:kern w:val="0"/>
          <w:szCs w:val="21"/>
        </w:rPr>
        <w:t>及被授权人的身份证复印件；</w:t>
      </w:r>
    </w:p>
    <w:p>
      <w:pPr>
        <w:pStyle w:val="44"/>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具有良好的商业信誉和健全的财务会计制度；</w:t>
      </w:r>
    </w:p>
    <w:p>
      <w:pPr>
        <w:pStyle w:val="44"/>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单位负责人为同一人或者存在直接控股、管理关系的不同供应商，不得同时参加本项目同一包的遴选；</w:t>
      </w:r>
    </w:p>
    <w:p>
      <w:pPr>
        <w:pStyle w:val="44"/>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具有履行合同所必需的设备和专业技术能力；</w:t>
      </w:r>
    </w:p>
    <w:p>
      <w:pPr>
        <w:pStyle w:val="44"/>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本项目不接受联合体参加；</w:t>
      </w:r>
    </w:p>
    <w:p>
      <w:pPr>
        <w:pStyle w:val="44"/>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未被“信用中国”网站（</w:t>
      </w:r>
      <w:r>
        <w:rPr>
          <w:rFonts w:cs="宋体" w:asciiTheme="minorEastAsia" w:hAnsiTheme="minorEastAsia"/>
          <w:szCs w:val="21"/>
        </w:rPr>
        <w:t>www.creditchina.gov.cn）、</w:t>
      </w:r>
      <w:r>
        <w:rPr>
          <w:rFonts w:hint="eastAsia" w:cs="宋体" w:asciiTheme="minorEastAsia" w:hAnsiTheme="minorEastAsia"/>
          <w:szCs w:val="21"/>
        </w:rPr>
        <w:t>“中国政府采购网”（</w:t>
      </w:r>
      <w:r>
        <w:rPr>
          <w:rFonts w:cs="宋体" w:asciiTheme="minorEastAsia" w:hAnsiTheme="minorEastAsia"/>
          <w:szCs w:val="21"/>
        </w:rPr>
        <w:t>www.ccgp.gov.cn）列入失信被执行人、重大税收违法案件当事人名单、政府采购严重失信行为记录名单</w:t>
      </w:r>
      <w:r>
        <w:rPr>
          <w:rFonts w:hint="eastAsia" w:cs="宋体" w:asciiTheme="minorEastAsia" w:hAnsiTheme="minorEastAsia"/>
          <w:szCs w:val="21"/>
        </w:rPr>
        <w:t>；</w:t>
      </w:r>
    </w:p>
    <w:p>
      <w:pPr>
        <w:pStyle w:val="44"/>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法律、行政法规规定的其他条件。</w:t>
      </w:r>
    </w:p>
    <w:p>
      <w:pPr>
        <w:pStyle w:val="4"/>
        <w:jc w:val="both"/>
        <w:rPr>
          <w:rFonts w:hint="eastAsia"/>
        </w:rPr>
      </w:pPr>
    </w:p>
    <w:p>
      <w:pPr>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18"/>
        <w:rPr>
          <w:rFonts w:hint="eastAsia"/>
        </w:rPr>
      </w:pPr>
    </w:p>
    <w:p>
      <w:pPr>
        <w:pStyle w:val="4"/>
        <w:jc w:val="center"/>
      </w:pPr>
      <w:r>
        <w:rPr>
          <w:rFonts w:hint="eastAsia"/>
        </w:rPr>
        <w:t>第二章  遴选前附表</w:t>
      </w:r>
      <w:bookmarkEnd w:id="5"/>
      <w:bookmarkEnd w:id="6"/>
      <w:bookmarkEnd w:id="7"/>
      <w:bookmarkEnd w:id="8"/>
    </w:p>
    <w:p/>
    <w:p>
      <w:pPr>
        <w:autoSpaceDE w:val="0"/>
        <w:autoSpaceDN w:val="0"/>
        <w:adjustRightInd w:val="0"/>
        <w:ind w:firstLine="420" w:firstLineChars="200"/>
        <w:rPr>
          <w:kern w:val="0"/>
          <w:sz w:val="22"/>
        </w:rPr>
      </w:pPr>
      <w:r>
        <w:rPr>
          <w:rFonts w:hint="eastAsia"/>
          <w:kern w:val="0"/>
          <w:szCs w:val="21"/>
          <w:lang w:val="zh-CN"/>
        </w:rPr>
        <w:t>本表关于</w:t>
      </w:r>
      <w:r>
        <w:rPr>
          <w:rFonts w:hint="eastAsia"/>
          <w:kern w:val="0"/>
          <w:szCs w:val="21"/>
        </w:rPr>
        <w:t>遴选</w:t>
      </w:r>
      <w:r>
        <w:rPr>
          <w:rFonts w:hint="eastAsia"/>
          <w:kern w:val="0"/>
          <w:szCs w:val="21"/>
          <w:lang w:val="zh-CN"/>
        </w:rPr>
        <w:t>前附表的具体要求是对供应商须知的具体补充和修改，如有矛盾，应以本表为准</w:t>
      </w:r>
      <w:r>
        <w:rPr>
          <w:rFonts w:hint="eastAsia"/>
          <w:kern w:val="0"/>
          <w:sz w:val="22"/>
          <w:lang w:val="zh-CN"/>
        </w:rPr>
        <w:t>。</w:t>
      </w:r>
    </w:p>
    <w:tbl>
      <w:tblPr>
        <w:tblStyle w:val="26"/>
        <w:tblW w:w="8930" w:type="dxa"/>
        <w:tblInd w:w="250" w:type="dxa"/>
        <w:tblLayout w:type="fixed"/>
        <w:tblCellMar>
          <w:top w:w="0" w:type="dxa"/>
          <w:left w:w="108" w:type="dxa"/>
          <w:bottom w:w="0" w:type="dxa"/>
          <w:right w:w="108" w:type="dxa"/>
        </w:tblCellMar>
      </w:tblPr>
      <w:tblGrid>
        <w:gridCol w:w="884"/>
        <w:gridCol w:w="1701"/>
        <w:gridCol w:w="6345"/>
      </w:tblGrid>
      <w:tr>
        <w:tblPrEx>
          <w:tblCellMar>
            <w:top w:w="0" w:type="dxa"/>
            <w:left w:w="108" w:type="dxa"/>
            <w:bottom w:w="0" w:type="dxa"/>
            <w:right w:w="108" w:type="dxa"/>
          </w:tblCellMar>
        </w:tblPrEx>
        <w:trPr>
          <w:trHeight w:val="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黑体" w:asciiTheme="minorEastAsia" w:hAnsiTheme="minorEastAsia"/>
                <w:kern w:val="0"/>
                <w:sz w:val="18"/>
                <w:szCs w:val="18"/>
                <w:lang w:val="zh-CN"/>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内容</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说明与要求</w:t>
            </w:r>
          </w:p>
        </w:tc>
      </w:tr>
      <w:tr>
        <w:tblPrEx>
          <w:tblCellMar>
            <w:top w:w="0" w:type="dxa"/>
            <w:left w:w="108" w:type="dxa"/>
            <w:bottom w:w="0" w:type="dxa"/>
            <w:right w:w="108" w:type="dxa"/>
          </w:tblCellMar>
        </w:tblPrEx>
        <w:trPr>
          <w:trHeight w:val="108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1</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项目概述</w:t>
            </w:r>
          </w:p>
        </w:tc>
        <w:tc>
          <w:tcPr>
            <w:tcW w:w="634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遴选时间：202</w:t>
            </w:r>
            <w:r>
              <w:rPr>
                <w:rFonts w:hint="eastAsia" w:asciiTheme="minorEastAsia" w:hAnsiTheme="minorEastAsia"/>
                <w:kern w:val="0"/>
                <w:sz w:val="18"/>
                <w:szCs w:val="18"/>
                <w:lang w:val="en-US" w:eastAsia="zh-CN"/>
              </w:rPr>
              <w:t>4</w:t>
            </w:r>
            <w:r>
              <w:rPr>
                <w:rFonts w:hint="eastAsia" w:asciiTheme="minorEastAsia" w:hAnsiTheme="minorEastAsia"/>
                <w:kern w:val="0"/>
                <w:sz w:val="18"/>
                <w:szCs w:val="18"/>
              </w:rPr>
              <w:t>年</w:t>
            </w:r>
            <w:r>
              <w:rPr>
                <w:rFonts w:hint="eastAsia" w:asciiTheme="minorEastAsia" w:hAnsiTheme="minorEastAsia"/>
                <w:kern w:val="0"/>
                <w:sz w:val="18"/>
                <w:szCs w:val="18"/>
                <w:lang w:val="en-US" w:eastAsia="zh-CN"/>
              </w:rPr>
              <w:t>06</w:t>
            </w:r>
            <w:r>
              <w:rPr>
                <w:rFonts w:hint="eastAsia" w:asciiTheme="minorEastAsia" w:hAnsiTheme="minorEastAsia"/>
                <w:kern w:val="0"/>
                <w:sz w:val="18"/>
                <w:szCs w:val="18"/>
                <w:highlight w:val="none"/>
              </w:rPr>
              <w:t>月</w:t>
            </w:r>
            <w:r>
              <w:rPr>
                <w:rFonts w:hint="eastAsia" w:asciiTheme="minorEastAsia" w:hAnsiTheme="minorEastAsia"/>
                <w:kern w:val="0"/>
                <w:sz w:val="18"/>
                <w:szCs w:val="18"/>
                <w:highlight w:val="none"/>
                <w:lang w:val="en-US" w:eastAsia="zh-CN"/>
              </w:rPr>
              <w:t>18</w:t>
            </w:r>
            <w:r>
              <w:rPr>
                <w:rFonts w:hint="eastAsia" w:asciiTheme="minorEastAsia" w:hAnsiTheme="minorEastAsia"/>
                <w:kern w:val="0"/>
                <w:sz w:val="18"/>
                <w:szCs w:val="18"/>
                <w:highlight w:val="none"/>
              </w:rPr>
              <w:t>日上</w:t>
            </w:r>
            <w:r>
              <w:rPr>
                <w:rFonts w:hint="eastAsia" w:asciiTheme="minorEastAsia" w:hAnsiTheme="minorEastAsia"/>
                <w:kern w:val="0"/>
                <w:sz w:val="18"/>
                <w:szCs w:val="18"/>
              </w:rPr>
              <w:t>午 9点（如果时间有变化，以实际为准）</w:t>
            </w:r>
          </w:p>
          <w:p>
            <w:pPr>
              <w:widowControl/>
              <w:spacing w:line="360" w:lineRule="auto"/>
              <w:jc w:val="left"/>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遴选地点：北京按摩医院</w:t>
            </w:r>
            <w:r>
              <w:rPr>
                <w:rFonts w:hint="eastAsia" w:asciiTheme="minorEastAsia" w:hAnsiTheme="minorEastAsia"/>
                <w:kern w:val="0"/>
                <w:sz w:val="18"/>
                <w:szCs w:val="18"/>
                <w:lang w:val="en-US" w:eastAsia="zh-CN"/>
              </w:rPr>
              <w:t>朝阳院区住院楼705室</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获取文件方式：</w:t>
            </w:r>
            <w:r>
              <w:rPr>
                <w:rFonts w:hint="eastAsia" w:asciiTheme="minorEastAsia" w:hAnsiTheme="minorEastAsia"/>
                <w:kern w:val="0"/>
                <w:sz w:val="18"/>
                <w:szCs w:val="18"/>
                <w:lang w:val="en-US" w:eastAsia="zh-CN"/>
              </w:rPr>
              <w:t>官网自行下载文件</w:t>
            </w:r>
            <w:r>
              <w:rPr>
                <w:rFonts w:hint="eastAsia" w:asciiTheme="minorEastAsia" w:hAnsiTheme="minorEastAsia"/>
                <w:kern w:val="0"/>
                <w:sz w:val="18"/>
                <w:szCs w:val="18"/>
              </w:rPr>
              <w:t xml:space="preserve"> </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联系人：黄老师</w:t>
            </w:r>
          </w:p>
          <w:p>
            <w:pPr>
              <w:widowControl/>
              <w:spacing w:line="360" w:lineRule="auto"/>
              <w:jc w:val="left"/>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联系电话：010-6616</w:t>
            </w:r>
            <w:r>
              <w:rPr>
                <w:rFonts w:hint="eastAsia" w:asciiTheme="minorEastAsia" w:hAnsiTheme="minorEastAsia"/>
                <w:kern w:val="0"/>
                <w:sz w:val="18"/>
                <w:szCs w:val="18"/>
                <w:lang w:val="en-US" w:eastAsia="zh-CN"/>
              </w:rPr>
              <w:t>1297-8708</w:t>
            </w:r>
          </w:p>
        </w:tc>
      </w:tr>
      <w:tr>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lang w:val="en-US" w:eastAsia="zh-CN"/>
              </w:rPr>
            </w:pPr>
            <w:r>
              <w:rPr>
                <w:rFonts w:hint="eastAsia" w:cs="Arial" w:asciiTheme="minorEastAsia" w:hAnsiTheme="minorEastAsia"/>
                <w:kern w:val="0"/>
                <w:sz w:val="18"/>
                <w:szCs w:val="18"/>
              </w:rPr>
              <w:t>2</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楷体_GB2312" w:asciiTheme="minorEastAsia" w:hAnsiTheme="minorEastAsia" w:eastAsiaTheme="minorEastAsia"/>
                <w:kern w:val="0"/>
                <w:sz w:val="18"/>
                <w:szCs w:val="18"/>
                <w:lang w:val="en-US" w:eastAsia="zh-CN"/>
              </w:rPr>
            </w:pPr>
            <w:r>
              <w:rPr>
                <w:rFonts w:hint="eastAsia" w:cs="楷体_GB2312" w:asciiTheme="minorEastAsia" w:hAnsiTheme="minorEastAsia"/>
                <w:kern w:val="0"/>
                <w:sz w:val="18"/>
                <w:szCs w:val="18"/>
                <w:lang w:val="en-US" w:eastAsia="zh-CN"/>
              </w:rPr>
              <w:t>项目性质</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hint="eastAsia" w:cs="楷体_GB2312" w:asciiTheme="minorEastAsia" w:hAnsiTheme="minorEastAsia" w:eastAsiaTheme="minorEastAsia"/>
                <w:kern w:val="0"/>
                <w:sz w:val="18"/>
                <w:szCs w:val="18"/>
                <w:lang w:val="en-US" w:eastAsia="zh-CN"/>
              </w:rPr>
            </w:pPr>
            <w:r>
              <w:rPr>
                <w:rFonts w:hint="eastAsia" w:cs="楷体_GB2312" w:asciiTheme="minorEastAsia" w:hAnsiTheme="minorEastAsia"/>
                <w:kern w:val="0"/>
                <w:sz w:val="18"/>
                <w:szCs w:val="18"/>
                <w:lang w:val="en-US" w:eastAsia="zh-CN"/>
              </w:rPr>
              <w:t>服务类</w:t>
            </w:r>
          </w:p>
        </w:tc>
      </w:tr>
      <w:tr>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3</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供应商资格要求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详见遴选邀请资格要求</w:t>
            </w:r>
          </w:p>
        </w:tc>
      </w:tr>
      <w:tr>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4</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eastAsia" w:asciiTheme="minorEastAsia" w:hAnsiTheme="minorEastAsia"/>
                <w:kern w:val="0"/>
                <w:sz w:val="18"/>
                <w:szCs w:val="18"/>
                <w:lang w:val="zh-CN"/>
              </w:rPr>
            </w:pPr>
            <w:r>
              <w:rPr>
                <w:rFonts w:hint="eastAsia" w:asciiTheme="minorEastAsia" w:hAnsiTheme="minorEastAsia"/>
                <w:kern w:val="0"/>
                <w:sz w:val="18"/>
                <w:szCs w:val="18"/>
                <w:lang w:val="zh-CN"/>
              </w:rPr>
              <w:t>对联合体参与响应的要求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本项目不接受联合体参加</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5</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服务期</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hint="eastAsia" w:cs="楷体_GB2312" w:asciiTheme="minorEastAsia" w:hAnsiTheme="minorEastAsia"/>
                <w:kern w:val="0"/>
                <w:sz w:val="18"/>
                <w:szCs w:val="18"/>
                <w:lang w:val="zh-CN"/>
              </w:rPr>
            </w:pPr>
            <w:r>
              <w:rPr>
                <w:rFonts w:hint="eastAsia" w:cs="楷体_GB2312" w:asciiTheme="minorEastAsia" w:hAnsiTheme="minorEastAsia"/>
                <w:kern w:val="0"/>
                <w:sz w:val="18"/>
                <w:szCs w:val="18"/>
                <w:lang w:val="en-US" w:eastAsia="zh-CN"/>
              </w:rPr>
              <w:t>3年，合同一年一签，经考核合格后可续签下一年度合同</w:t>
            </w:r>
            <w:r>
              <w:rPr>
                <w:rFonts w:hint="eastAsia" w:cs="楷体_GB2312" w:asciiTheme="minorEastAsia" w:hAnsiTheme="minorEastAsia"/>
                <w:kern w:val="0"/>
                <w:sz w:val="18"/>
                <w:szCs w:val="18"/>
                <w:lang w:val="zh-CN"/>
              </w:rPr>
              <w:t>。</w:t>
            </w:r>
          </w:p>
          <w:p>
            <w:pPr>
              <w:autoSpaceDE w:val="0"/>
              <w:autoSpaceDN w:val="0"/>
              <w:adjustRightInd w:val="0"/>
              <w:rPr>
                <w:rFonts w:hint="default" w:cs="楷体_GB2312" w:asciiTheme="minorEastAsia" w:hAnsiTheme="minorEastAsia"/>
                <w:kern w:val="0"/>
                <w:sz w:val="18"/>
                <w:szCs w:val="18"/>
                <w:lang w:val="en-US" w:eastAsia="zh-CN"/>
              </w:rPr>
            </w:pPr>
            <w:r>
              <w:rPr>
                <w:rFonts w:hint="eastAsia" w:cs="楷体_GB2312" w:asciiTheme="minorEastAsia" w:hAnsiTheme="minorEastAsia"/>
                <w:kern w:val="0"/>
                <w:sz w:val="18"/>
                <w:szCs w:val="18"/>
                <w:lang w:val="en-US" w:eastAsia="zh-CN"/>
              </w:rPr>
              <w:t>每年根据医院体检方案，约6个月内完成职工体检活动，根据实际体检类别和人数进行结算。</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6</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lang w:val="zh-CN"/>
              </w:rPr>
            </w:pPr>
            <w:r>
              <w:rPr>
                <w:rFonts w:hint="eastAsia" w:asciiTheme="minorEastAsia" w:hAnsiTheme="minorEastAsia"/>
                <w:kern w:val="0"/>
                <w:sz w:val="18"/>
                <w:szCs w:val="18"/>
              </w:rPr>
              <w:t>是否为专门面向</w:t>
            </w:r>
            <w:r>
              <w:rPr>
                <w:rFonts w:asciiTheme="minorEastAsia" w:hAnsiTheme="minorEastAsia"/>
                <w:kern w:val="0"/>
                <w:sz w:val="18"/>
                <w:szCs w:val="18"/>
              </w:rPr>
              <w:t>中小企业采购</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lang w:val="zh-CN"/>
              </w:rPr>
            </w:pPr>
            <w:r>
              <w:rPr>
                <w:rFonts w:hint="eastAsia" w:asciiTheme="minorEastAsia" w:hAnsiTheme="minorEastAsia"/>
                <w:kern w:val="0"/>
                <w:sz w:val="18"/>
                <w:szCs w:val="18"/>
              </w:rPr>
              <w:t>是</w:t>
            </w:r>
          </w:p>
        </w:tc>
      </w:tr>
      <w:tr>
        <w:tblPrEx>
          <w:tblCellMar>
            <w:top w:w="0" w:type="dxa"/>
            <w:left w:w="108" w:type="dxa"/>
            <w:bottom w:w="0" w:type="dxa"/>
            <w:right w:w="108" w:type="dxa"/>
          </w:tblCellMar>
        </w:tblPrEx>
        <w:trPr>
          <w:trHeight w:val="9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7</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sz w:val="18"/>
                <w:szCs w:val="18"/>
              </w:rPr>
              <w:t>响应文件构</w:t>
            </w:r>
            <w:r>
              <w:rPr>
                <w:rFonts w:hint="eastAsia" w:cs="楷体_GB2312" w:asciiTheme="minorEastAsia" w:hAnsiTheme="minorEastAsia"/>
                <w:kern w:val="0"/>
                <w:sz w:val="18"/>
                <w:szCs w:val="18"/>
                <w:lang w:val="zh-CN"/>
              </w:rPr>
              <w:t>成</w:t>
            </w:r>
          </w:p>
        </w:tc>
        <w:tc>
          <w:tcPr>
            <w:tcW w:w="6345" w:type="dxa"/>
            <w:tcBorders>
              <w:top w:val="single" w:color="000000" w:sz="8" w:space="0"/>
              <w:left w:val="single" w:color="000000" w:sz="8" w:space="0"/>
              <w:bottom w:val="single" w:color="000000" w:sz="8" w:space="0"/>
              <w:right w:val="single" w:color="000000" w:sz="8" w:space="0"/>
            </w:tcBorders>
            <w:vAlign w:val="center"/>
          </w:tcPr>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目录（格式见附件）；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报价一览表（格式见附件）；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asciiTheme="minorEastAsia" w:hAnsiTheme="minorEastAsia"/>
                <w:sz w:val="18"/>
                <w:szCs w:val="18"/>
                <w:lang w:val="en-US" w:eastAsia="zh-CN"/>
              </w:rPr>
              <w:t>采购需求</w:t>
            </w:r>
            <w:r>
              <w:rPr>
                <w:rFonts w:hint="eastAsia" w:asciiTheme="minorEastAsia" w:hAnsiTheme="minorEastAsia"/>
                <w:sz w:val="18"/>
                <w:szCs w:val="18"/>
              </w:rPr>
              <w:t>偏离表</w:t>
            </w:r>
            <w:r>
              <w:rPr>
                <w:rFonts w:hint="eastAsia" w:cs="Arial" w:asciiTheme="minorEastAsia" w:hAnsiTheme="minorEastAsia"/>
                <w:sz w:val="18"/>
                <w:szCs w:val="18"/>
              </w:rPr>
              <w:t>（格式见附件）；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color w:val="000000"/>
                <w:sz w:val="18"/>
                <w:szCs w:val="18"/>
                <w:lang w:val="en-US" w:eastAsia="zh-CN"/>
              </w:rPr>
              <w:t>合同</w:t>
            </w:r>
            <w:r>
              <w:rPr>
                <w:rFonts w:hint="eastAsia" w:cs="Arial" w:asciiTheme="minorEastAsia" w:hAnsiTheme="minorEastAsia"/>
                <w:color w:val="000000"/>
                <w:sz w:val="18"/>
                <w:szCs w:val="18"/>
              </w:rPr>
              <w:t>条款偏离表（格式见附件）；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资格证明文件（格式见附件）；</w:t>
            </w:r>
          </w:p>
          <w:p>
            <w:pPr>
              <w:numPr>
                <w:ilvl w:val="0"/>
                <w:numId w:val="3"/>
              </w:numPr>
              <w:tabs>
                <w:tab w:val="left" w:pos="460"/>
                <w:tab w:val="left" w:pos="602"/>
                <w:tab w:val="clear" w:pos="587"/>
              </w:tabs>
              <w:snapToGrid w:val="0"/>
              <w:spacing w:line="360" w:lineRule="auto"/>
              <w:ind w:hanging="694"/>
              <w:rPr>
                <w:rFonts w:asciiTheme="minorEastAsia" w:hAnsiTheme="minorEastAsia"/>
                <w:sz w:val="18"/>
                <w:szCs w:val="18"/>
              </w:rPr>
            </w:pPr>
            <w:r>
              <w:rPr>
                <w:rFonts w:hint="eastAsia" w:cs="Arial" w:asciiTheme="minorEastAsia" w:hAnsiTheme="minorEastAsia"/>
                <w:sz w:val="18"/>
                <w:szCs w:val="18"/>
              </w:rPr>
              <w:t>供应商认为需要提供的其他证明材料</w:t>
            </w:r>
          </w:p>
        </w:tc>
      </w:tr>
      <w:tr>
        <w:tblPrEx>
          <w:tblCellMar>
            <w:top w:w="0" w:type="dxa"/>
            <w:left w:w="108" w:type="dxa"/>
            <w:bottom w:w="0" w:type="dxa"/>
            <w:right w:w="108" w:type="dxa"/>
          </w:tblCellMar>
        </w:tblPrEx>
        <w:trPr>
          <w:trHeight w:val="442"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8</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响应文件份数</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楷体_GB2312" w:asciiTheme="minorEastAsia" w:hAnsiTheme="minorEastAsia"/>
                <w:kern w:val="0"/>
                <w:sz w:val="18"/>
                <w:szCs w:val="18"/>
                <w:lang w:val="zh-CN"/>
              </w:rPr>
              <w:t>正本</w:t>
            </w:r>
            <w:r>
              <w:rPr>
                <w:rFonts w:hint="eastAsia" w:cs="Arial" w:asciiTheme="minorEastAsia" w:hAnsiTheme="minorEastAsia"/>
                <w:kern w:val="0"/>
                <w:sz w:val="18"/>
                <w:szCs w:val="18"/>
              </w:rPr>
              <w:t>1</w:t>
            </w:r>
            <w:r>
              <w:rPr>
                <w:rFonts w:hint="eastAsia" w:cs="楷体_GB2312" w:asciiTheme="minorEastAsia" w:hAnsiTheme="minorEastAsia"/>
                <w:kern w:val="0"/>
                <w:sz w:val="18"/>
                <w:szCs w:val="18"/>
                <w:lang w:val="zh-CN"/>
              </w:rPr>
              <w:t>份，副本</w:t>
            </w:r>
            <w:r>
              <w:rPr>
                <w:rFonts w:hint="eastAsia" w:cs="楷体_GB2312" w:asciiTheme="minorEastAsia" w:hAnsiTheme="minorEastAsia"/>
                <w:kern w:val="0"/>
                <w:sz w:val="18"/>
                <w:szCs w:val="18"/>
                <w:lang w:val="en-US" w:eastAsia="zh-CN"/>
              </w:rPr>
              <w:t>3</w:t>
            </w:r>
            <w:r>
              <w:rPr>
                <w:rFonts w:hint="eastAsia" w:cs="楷体_GB2312" w:asciiTheme="minorEastAsia" w:hAnsiTheme="minorEastAsia"/>
                <w:kern w:val="0"/>
                <w:sz w:val="18"/>
                <w:szCs w:val="18"/>
                <w:lang w:val="zh-CN"/>
              </w:rPr>
              <w:t>份</w:t>
            </w:r>
          </w:p>
        </w:tc>
      </w:tr>
      <w:tr>
        <w:tblPrEx>
          <w:tblCellMar>
            <w:top w:w="0" w:type="dxa"/>
            <w:left w:w="108" w:type="dxa"/>
            <w:bottom w:w="0" w:type="dxa"/>
            <w:right w:w="108" w:type="dxa"/>
          </w:tblCellMar>
        </w:tblPrEx>
        <w:trPr>
          <w:trHeight w:val="54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9</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eastAsia" w:asciiTheme="minorEastAsia" w:hAnsiTheme="minorEastAsia"/>
                <w:kern w:val="0"/>
                <w:sz w:val="18"/>
                <w:szCs w:val="18"/>
                <w:lang w:val="en-US" w:eastAsia="zh-CN"/>
              </w:rPr>
            </w:pPr>
            <w:r>
              <w:rPr>
                <w:rFonts w:hint="eastAsia" w:asciiTheme="minorEastAsia" w:hAnsiTheme="minorEastAsia" w:cstheme="minorBidi"/>
                <w:kern w:val="0"/>
                <w:sz w:val="18"/>
                <w:szCs w:val="18"/>
              </w:rPr>
              <w:t>预算及</w:t>
            </w:r>
            <w:r>
              <w:rPr>
                <w:rFonts w:hint="eastAsia" w:asciiTheme="minorEastAsia" w:hAnsiTheme="minorEastAsia" w:cstheme="minorBidi"/>
                <w:kern w:val="0"/>
                <w:sz w:val="18"/>
                <w:szCs w:val="18"/>
                <w:highlight w:val="none"/>
              </w:rPr>
              <w:t>最高限价</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hint="eastAsia" w:asciiTheme="minorEastAsia" w:hAnsiTheme="minorEastAsia"/>
                <w:kern w:val="0"/>
                <w:sz w:val="18"/>
                <w:szCs w:val="18"/>
                <w:highlight w:val="none"/>
                <w:lang w:val="en-US" w:eastAsia="zh-CN"/>
              </w:rPr>
            </w:pPr>
            <w:r>
              <w:rPr>
                <w:rFonts w:hint="eastAsia" w:asciiTheme="minorEastAsia" w:hAnsiTheme="minorEastAsia"/>
                <w:kern w:val="0"/>
                <w:sz w:val="18"/>
                <w:szCs w:val="18"/>
                <w:lang w:val="en-US" w:eastAsia="zh-CN"/>
              </w:rPr>
              <w:t>预算金额人民币：60万元/年</w:t>
            </w:r>
            <w:r>
              <w:rPr>
                <w:rFonts w:hint="eastAsia" w:asciiTheme="minorEastAsia" w:hAnsiTheme="minorEastAsia"/>
                <w:kern w:val="0"/>
                <w:sz w:val="18"/>
                <w:szCs w:val="18"/>
                <w:highlight w:val="none"/>
                <w:lang w:val="en-US" w:eastAsia="zh-CN"/>
              </w:rPr>
              <w:t>；</w:t>
            </w:r>
          </w:p>
          <w:p>
            <w:pPr>
              <w:tabs>
                <w:tab w:val="left" w:pos="425"/>
              </w:tabs>
              <w:autoSpaceDE w:val="0"/>
              <w:autoSpaceDN w:val="0"/>
              <w:adjustRightInd w:val="0"/>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最高限价：6类人员单项套餐合计金额5777.67元人民币；</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kern w:val="0"/>
                <w:sz w:val="18"/>
                <w:szCs w:val="18"/>
                <w:lang w:val="en-US" w:eastAsia="zh-CN"/>
              </w:rPr>
            </w:pPr>
            <w:r>
              <w:rPr>
                <w:rFonts w:hint="eastAsia" w:cs="Arial" w:asciiTheme="minorEastAsia" w:hAnsiTheme="minorEastAsia"/>
                <w:kern w:val="0"/>
                <w:sz w:val="18"/>
                <w:szCs w:val="18"/>
                <w:lang w:val="en-US" w:eastAsia="zh-CN"/>
              </w:rPr>
              <w:t>10</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eastAsia" w:asciiTheme="minorEastAsia" w:hAnsiTheme="minorEastAsia"/>
                <w:kern w:val="0"/>
                <w:sz w:val="18"/>
                <w:szCs w:val="18"/>
              </w:rPr>
            </w:pPr>
            <w:r>
              <w:rPr>
                <w:rFonts w:hint="eastAsia" w:asciiTheme="minorEastAsia" w:hAnsiTheme="minorEastAsia"/>
                <w:kern w:val="0"/>
                <w:sz w:val="18"/>
                <w:szCs w:val="18"/>
                <w:lang w:val="en-US" w:eastAsia="zh-CN"/>
              </w:rPr>
              <w:t>最终报价</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评审现场进行第2次最终报价</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11</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评审方法</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rPr>
            </w:pPr>
            <w:r>
              <w:rPr>
                <w:rFonts w:hint="eastAsia" w:asciiTheme="minorEastAsia" w:hAnsiTheme="minorEastAsia"/>
                <w:kern w:val="0"/>
                <w:sz w:val="18"/>
                <w:szCs w:val="18"/>
              </w:rPr>
              <w:t>综合评分法</w:t>
            </w:r>
          </w:p>
        </w:tc>
      </w:tr>
      <w:tr>
        <w:tblPrEx>
          <w:tblCellMar>
            <w:top w:w="0" w:type="dxa"/>
            <w:left w:w="108" w:type="dxa"/>
            <w:bottom w:w="0" w:type="dxa"/>
            <w:right w:w="108" w:type="dxa"/>
          </w:tblCellMar>
        </w:tblPrEx>
        <w:trPr>
          <w:trHeight w:val="49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12</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转包</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中选公司不得转包业务</w:t>
            </w:r>
          </w:p>
        </w:tc>
      </w:tr>
      <w:tr>
        <w:tblPrEx>
          <w:tblCellMar>
            <w:top w:w="0" w:type="dxa"/>
            <w:left w:w="108" w:type="dxa"/>
            <w:bottom w:w="0" w:type="dxa"/>
            <w:right w:w="108" w:type="dxa"/>
          </w:tblCellMar>
        </w:tblPrEx>
        <w:trPr>
          <w:trHeight w:val="45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default"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13</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其他</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无</w:t>
            </w:r>
          </w:p>
        </w:tc>
      </w:tr>
      <w:tr>
        <w:tblPrEx>
          <w:tblCellMar>
            <w:top w:w="0" w:type="dxa"/>
            <w:left w:w="108" w:type="dxa"/>
            <w:bottom w:w="0" w:type="dxa"/>
            <w:right w:w="108" w:type="dxa"/>
          </w:tblCellMar>
        </w:tblPrEx>
        <w:trPr>
          <w:trHeight w:val="492" w:hRule="atLeast"/>
        </w:trPr>
        <w:tc>
          <w:tcPr>
            <w:tcW w:w="893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360" w:firstLineChars="200"/>
              <w:rPr>
                <w:rFonts w:asciiTheme="minorEastAsia" w:hAnsiTheme="minorEastAsia"/>
                <w:sz w:val="18"/>
                <w:szCs w:val="18"/>
              </w:rPr>
            </w:pPr>
            <w:r>
              <w:rPr>
                <w:rFonts w:hint="eastAsia" w:asciiTheme="minorEastAsia" w:hAnsiTheme="minorEastAsia"/>
                <w:sz w:val="18"/>
                <w:szCs w:val="18"/>
              </w:rPr>
              <w:t>任何在本次遴选活动中弄虚作假、徇私舞弊、行贿受贿或通过任何不正当手段干扰评选结果或通过上述行为获取中选资格等行为的，投诉人应当据实反映情况，否则应承担相应的法律后果。</w:t>
            </w:r>
          </w:p>
        </w:tc>
      </w:tr>
      <w:bookmarkEnd w:id="9"/>
    </w:tbl>
    <w:p>
      <w:pPr>
        <w:pStyle w:val="44"/>
        <w:numPr>
          <w:ilvl w:val="0"/>
          <w:numId w:val="0"/>
        </w:numPr>
        <w:spacing w:line="360" w:lineRule="auto"/>
        <w:ind w:leftChars="0"/>
        <w:rPr>
          <w:rFonts w:hint="eastAsia" w:asciiTheme="minorEastAsia" w:hAnsiTheme="minorEastAsia"/>
          <w:szCs w:val="21"/>
        </w:rPr>
      </w:pPr>
      <w:bookmarkStart w:id="10" w:name="_Toc12048"/>
      <w:bookmarkStart w:id="11" w:name="_Toc8891"/>
      <w:bookmarkStart w:id="12" w:name="_Toc26804"/>
      <w:bookmarkStart w:id="13" w:name="_Toc508200445"/>
      <w:bookmarkStart w:id="14" w:name="_Toc416787277"/>
      <w:bookmarkStart w:id="15" w:name="_Toc434232554"/>
    </w:p>
    <w:p>
      <w:pPr>
        <w:pStyle w:val="44"/>
        <w:numPr>
          <w:ilvl w:val="0"/>
          <w:numId w:val="0"/>
        </w:numPr>
        <w:spacing w:line="360" w:lineRule="auto"/>
        <w:ind w:leftChars="0"/>
        <w:rPr>
          <w:rFonts w:hint="eastAsia" w:asciiTheme="minorEastAsia" w:hAnsiTheme="minorEastAsia"/>
          <w:szCs w:val="21"/>
        </w:rPr>
      </w:pPr>
    </w:p>
    <w:p>
      <w:pPr>
        <w:pStyle w:val="44"/>
        <w:numPr>
          <w:ilvl w:val="0"/>
          <w:numId w:val="0"/>
        </w:numPr>
        <w:spacing w:line="360" w:lineRule="auto"/>
        <w:ind w:leftChars="0"/>
        <w:rPr>
          <w:rFonts w:hint="eastAsia" w:asciiTheme="minorEastAsia" w:hAnsiTheme="minorEastAsia"/>
          <w:szCs w:val="21"/>
        </w:rPr>
      </w:pPr>
    </w:p>
    <w:p>
      <w:pPr>
        <w:pStyle w:val="44"/>
        <w:numPr>
          <w:ilvl w:val="0"/>
          <w:numId w:val="0"/>
        </w:numPr>
        <w:spacing w:line="360" w:lineRule="auto"/>
        <w:ind w:leftChars="0"/>
        <w:rPr>
          <w:rFonts w:hint="eastAsia" w:asciiTheme="minorEastAsia" w:hAnsiTheme="minorEastAsia"/>
          <w:szCs w:val="21"/>
        </w:rPr>
      </w:pPr>
    </w:p>
    <w:p>
      <w:pPr>
        <w:pStyle w:val="44"/>
        <w:numPr>
          <w:ilvl w:val="0"/>
          <w:numId w:val="0"/>
        </w:numPr>
        <w:spacing w:line="360" w:lineRule="auto"/>
        <w:ind w:leftChars="0"/>
        <w:rPr>
          <w:rFonts w:hint="eastAsia" w:asciiTheme="minorEastAsia" w:hAnsiTheme="minorEastAsia"/>
          <w:szCs w:val="21"/>
        </w:rPr>
      </w:pPr>
    </w:p>
    <w:p>
      <w:pPr>
        <w:pStyle w:val="4"/>
        <w:numPr>
          <w:ilvl w:val="0"/>
          <w:numId w:val="0"/>
        </w:numPr>
        <w:spacing w:line="360" w:lineRule="auto"/>
        <w:ind w:leftChars="0"/>
        <w:jc w:val="center"/>
        <w:rPr>
          <w:rFonts w:hint="default" w:eastAsia="宋体"/>
          <w:color w:val="auto"/>
          <w:lang w:val="en-US" w:eastAsia="zh-CN"/>
        </w:rPr>
      </w:pPr>
      <w:r>
        <w:rPr>
          <w:rFonts w:hint="eastAsia"/>
        </w:rPr>
        <w:t>第</w:t>
      </w:r>
      <w:r>
        <w:rPr>
          <w:rFonts w:hint="eastAsia"/>
          <w:lang w:val="en-US" w:eastAsia="zh-CN"/>
        </w:rPr>
        <w:t>三</w:t>
      </w:r>
      <w:r>
        <w:rPr>
          <w:rFonts w:hint="eastAsia"/>
        </w:rPr>
        <w:t>章</w:t>
      </w:r>
      <w:r>
        <w:rPr>
          <w:rFonts w:hint="eastAsia"/>
          <w:lang w:val="en-US" w:eastAsia="zh-CN"/>
        </w:rPr>
        <w:t xml:space="preserve">  </w:t>
      </w:r>
      <w:r>
        <w:rPr>
          <w:rFonts w:hint="eastAsia"/>
          <w:color w:val="auto"/>
          <w:shd w:val="clear" w:color="auto" w:fill="auto"/>
          <w:lang w:val="en-US" w:eastAsia="zh-CN"/>
        </w:rPr>
        <w:t>评标办法</w:t>
      </w:r>
    </w:p>
    <w:p>
      <w:pPr>
        <w:pStyle w:val="55"/>
        <w:numPr>
          <w:ilvl w:val="0"/>
          <w:numId w:val="4"/>
        </w:numPr>
        <w:spacing w:line="360" w:lineRule="auto"/>
        <w:ind w:firstLineChars="0"/>
        <w:rPr>
          <w:rFonts w:ascii="宋体" w:hAnsi="宋体" w:eastAsia="宋体"/>
          <w:b/>
          <w:bCs/>
          <w:color w:val="auto"/>
          <w:sz w:val="21"/>
          <w:szCs w:val="21"/>
        </w:rPr>
      </w:pPr>
      <w:r>
        <w:rPr>
          <w:rFonts w:hint="eastAsia" w:ascii="宋体" w:hAnsi="宋体" w:eastAsia="宋体"/>
          <w:b/>
          <w:bCs/>
          <w:color w:val="auto"/>
          <w:sz w:val="21"/>
          <w:szCs w:val="21"/>
        </w:rPr>
        <w:t>评审方法：</w:t>
      </w:r>
    </w:p>
    <w:p>
      <w:pPr>
        <w:spacing w:line="360" w:lineRule="auto"/>
        <w:ind w:firstLine="420" w:firstLineChars="200"/>
        <w:rPr>
          <w:rFonts w:hint="eastAsia" w:ascii="宋体 (正文)" w:hAnsi="宋体 (正文)" w:eastAsia="宋体 (正文)" w:cs="宋体 (正文)"/>
          <w:color w:val="auto"/>
          <w:kern w:val="0"/>
          <w:sz w:val="24"/>
          <w:szCs w:val="24"/>
          <w:lang w:val="en-US" w:eastAsia="zh-CN"/>
        </w:rPr>
      </w:pPr>
      <w:r>
        <w:rPr>
          <w:rFonts w:hint="eastAsia" w:ascii="宋体" w:hAnsi="宋体"/>
          <w:color w:val="auto"/>
          <w:szCs w:val="21"/>
        </w:rPr>
        <w:t>本次评审采用综合评分法，是指响应文件满足</w:t>
      </w:r>
      <w:r>
        <w:rPr>
          <w:rFonts w:hint="eastAsia" w:ascii="宋体" w:hAnsi="宋体"/>
          <w:color w:val="auto"/>
          <w:szCs w:val="21"/>
          <w:lang w:eastAsia="zh-CN"/>
        </w:rPr>
        <w:t>遴选文件</w:t>
      </w:r>
      <w:r>
        <w:rPr>
          <w:rFonts w:hint="eastAsia" w:ascii="宋体" w:hAnsi="宋体"/>
          <w:color w:val="auto"/>
          <w:szCs w:val="21"/>
        </w:rPr>
        <w:t>全部实质性要求且按评审因素的量化指标评审得分最高的报价人为成交候选报价人的评审方法。</w:t>
      </w:r>
    </w:p>
    <w:p>
      <w:pPr>
        <w:pStyle w:val="71"/>
        <w:spacing w:line="435" w:lineRule="exact"/>
        <w:rPr>
          <w:color w:val="auto"/>
        </w:rPr>
      </w:pPr>
      <w:r>
        <w:rPr>
          <w:rFonts w:hint="eastAsia" w:ascii="宋体 (正文)" w:hAnsi="宋体 (正文)" w:eastAsia="宋体 (正文)" w:cs="宋体 (正文)"/>
          <w:color w:val="auto"/>
          <w:sz w:val="24"/>
          <w:lang w:val="en-US" w:eastAsia="zh-CN"/>
        </w:rPr>
        <w:t>二、</w:t>
      </w:r>
      <w:r>
        <w:rPr>
          <w:rFonts w:hint="eastAsia" w:ascii="宋体" w:hAnsi="宋体" w:eastAsia="宋体" w:cs="宋体"/>
          <w:b/>
          <w:bCs/>
          <w:color w:val="auto"/>
          <w:kern w:val="2"/>
          <w:sz w:val="21"/>
          <w:szCs w:val="21"/>
          <w:lang w:val="en-US" w:eastAsia="zh-CN" w:bidi="ar-SA"/>
        </w:rPr>
        <w:t>整个评标过程按下列步骤进行：</w:t>
      </w:r>
    </w:p>
    <w:p>
      <w:pPr>
        <w:spacing w:line="360" w:lineRule="auto"/>
        <w:ind w:firstLine="420" w:firstLineChars="200"/>
        <w:rPr>
          <w:rFonts w:hint="eastAsia" w:ascii="宋体" w:hAnsi="宋体"/>
          <w:color w:val="auto"/>
          <w:szCs w:val="21"/>
          <w:lang w:val="en-US" w:eastAsia="zh-CN"/>
        </w:rPr>
      </w:pPr>
      <w:r>
        <w:rPr>
          <w:rFonts w:hint="eastAsia" w:ascii="宋体" w:hAnsi="宋体"/>
          <w:color w:val="auto"/>
          <w:szCs w:val="21"/>
        </w:rPr>
        <w:t xml:space="preserve">（1） </w:t>
      </w:r>
      <w:r>
        <w:rPr>
          <w:rFonts w:hint="eastAsia" w:ascii="宋体" w:hAnsi="宋体"/>
          <w:color w:val="auto"/>
          <w:szCs w:val="21"/>
          <w:lang w:eastAsia="zh-CN"/>
        </w:rPr>
        <w:t>响应文件</w:t>
      </w:r>
      <w:r>
        <w:rPr>
          <w:rFonts w:hint="eastAsia" w:ascii="宋体" w:hAnsi="宋体"/>
          <w:color w:val="auto"/>
          <w:szCs w:val="21"/>
        </w:rPr>
        <w:t>的初步评审；</w:t>
      </w:r>
      <w:r>
        <w:rPr>
          <w:rFonts w:hint="eastAsia" w:ascii="宋体" w:hAnsi="宋体"/>
          <w:color w:val="auto"/>
          <w:szCs w:val="21"/>
          <w:lang w:val="en-US" w:eastAsia="zh-CN"/>
        </w:rPr>
        <w:t>标注“★”和资格要求不满足不进入详评。</w:t>
      </w:r>
    </w:p>
    <w:p>
      <w:pPr>
        <w:spacing w:line="360" w:lineRule="auto"/>
        <w:ind w:firstLine="420" w:firstLineChars="200"/>
        <w:rPr>
          <w:rFonts w:hint="eastAsia" w:ascii="宋体" w:hAnsi="宋体"/>
          <w:color w:val="auto"/>
          <w:szCs w:val="21"/>
        </w:rPr>
      </w:pPr>
      <w:r>
        <w:rPr>
          <w:rFonts w:hint="eastAsia" w:ascii="宋体" w:hAnsi="宋体"/>
          <w:color w:val="auto"/>
          <w:szCs w:val="21"/>
        </w:rPr>
        <w:t xml:space="preserve">（2） </w:t>
      </w:r>
      <w:r>
        <w:rPr>
          <w:rFonts w:hint="eastAsia" w:ascii="宋体" w:hAnsi="宋体"/>
          <w:color w:val="auto"/>
          <w:szCs w:val="21"/>
          <w:lang w:eastAsia="zh-CN"/>
        </w:rPr>
        <w:t>响应文件</w:t>
      </w:r>
      <w:r>
        <w:rPr>
          <w:rFonts w:hint="eastAsia" w:ascii="宋体" w:hAnsi="宋体"/>
          <w:color w:val="auto"/>
          <w:szCs w:val="21"/>
        </w:rPr>
        <w:t>的详细评审；</w:t>
      </w:r>
    </w:p>
    <w:p>
      <w:pPr>
        <w:spacing w:line="360" w:lineRule="auto"/>
        <w:ind w:firstLine="420" w:firstLineChars="200"/>
        <w:rPr>
          <w:rFonts w:hint="eastAsia" w:ascii="宋体" w:hAnsi="宋体"/>
          <w:color w:val="auto"/>
          <w:szCs w:val="21"/>
        </w:rPr>
      </w:pPr>
      <w:r>
        <w:rPr>
          <w:rFonts w:hint="eastAsia" w:ascii="宋体" w:hAnsi="宋体"/>
          <w:color w:val="auto"/>
          <w:szCs w:val="21"/>
        </w:rPr>
        <w:t>（3） 推荐中标候选人。</w:t>
      </w:r>
      <w:bookmarkStart w:id="16" w:name="_Toc448322521"/>
    </w:p>
    <w:p>
      <w:pPr>
        <w:spacing w:line="360" w:lineRule="auto"/>
        <w:rPr>
          <w:rFonts w:ascii="宋体" w:hAnsi="宋体" w:eastAsia="宋体"/>
          <w:b/>
          <w:bCs/>
          <w:color w:val="auto"/>
          <w:sz w:val="21"/>
          <w:szCs w:val="21"/>
        </w:rPr>
      </w:pPr>
      <w:r>
        <w:rPr>
          <w:rFonts w:hint="eastAsia" w:ascii="宋体 (正文)" w:hAnsi="宋体 (正文)" w:eastAsia="宋体 (正文)" w:cs="宋体 (正文)"/>
          <w:color w:val="auto"/>
          <w:sz w:val="24"/>
          <w:lang w:val="en-US" w:eastAsia="zh-CN"/>
        </w:rPr>
        <w:t>三、</w:t>
      </w:r>
      <w:r>
        <w:rPr>
          <w:rFonts w:hint="eastAsia" w:ascii="宋体" w:hAnsi="宋体" w:eastAsia="宋体"/>
          <w:b/>
          <w:bCs/>
          <w:color w:val="auto"/>
          <w:sz w:val="21"/>
          <w:szCs w:val="21"/>
        </w:rPr>
        <w:t>本项目评分标准为：</w:t>
      </w:r>
      <w:bookmarkEnd w:id="16"/>
      <w:r>
        <w:rPr>
          <w:rFonts w:hint="eastAsia" w:ascii="宋体" w:hAnsi="宋体" w:eastAsia="宋体"/>
          <w:b/>
          <w:color w:val="auto"/>
          <w:sz w:val="21"/>
          <w:szCs w:val="21"/>
        </w:rPr>
        <w:t>价格部分</w:t>
      </w:r>
      <w:r>
        <w:rPr>
          <w:rFonts w:hint="eastAsia" w:ascii="宋体" w:hAnsi="宋体" w:eastAsia="宋体"/>
          <w:b/>
          <w:color w:val="auto"/>
          <w:sz w:val="21"/>
          <w:szCs w:val="21"/>
          <w:lang w:val="en-US" w:eastAsia="zh-CN"/>
        </w:rPr>
        <w:t>30</w:t>
      </w:r>
      <w:r>
        <w:rPr>
          <w:rFonts w:hint="eastAsia" w:ascii="宋体" w:hAnsi="宋体" w:eastAsia="宋体"/>
          <w:b/>
          <w:color w:val="auto"/>
          <w:sz w:val="21"/>
          <w:szCs w:val="21"/>
        </w:rPr>
        <w:t>分，商务部分</w:t>
      </w:r>
      <w:r>
        <w:rPr>
          <w:rFonts w:hint="eastAsia" w:ascii="宋体" w:hAnsi="宋体" w:eastAsia="宋体"/>
          <w:b/>
          <w:color w:val="auto"/>
          <w:sz w:val="21"/>
          <w:szCs w:val="21"/>
          <w:lang w:val="en-US" w:eastAsia="zh-CN"/>
        </w:rPr>
        <w:t>10</w:t>
      </w:r>
      <w:r>
        <w:rPr>
          <w:rFonts w:hint="eastAsia" w:ascii="宋体" w:hAnsi="宋体" w:eastAsia="宋体"/>
          <w:b/>
          <w:color w:val="auto"/>
          <w:sz w:val="21"/>
          <w:szCs w:val="21"/>
        </w:rPr>
        <w:t>分</w:t>
      </w:r>
      <w:r>
        <w:rPr>
          <w:rFonts w:hint="eastAsia" w:ascii="宋体" w:hAnsi="宋体" w:eastAsia="宋体"/>
          <w:b/>
          <w:color w:val="auto"/>
          <w:sz w:val="21"/>
          <w:szCs w:val="21"/>
          <w:lang w:eastAsia="zh-CN"/>
        </w:rPr>
        <w:t>，</w:t>
      </w:r>
      <w:r>
        <w:rPr>
          <w:rFonts w:hint="eastAsia" w:ascii="宋体" w:hAnsi="宋体" w:eastAsia="宋体"/>
          <w:b/>
          <w:color w:val="auto"/>
          <w:sz w:val="21"/>
          <w:szCs w:val="21"/>
        </w:rPr>
        <w:t>技术部分</w:t>
      </w:r>
      <w:r>
        <w:rPr>
          <w:rFonts w:hint="eastAsia" w:ascii="宋体" w:hAnsi="宋体" w:eastAsia="宋体"/>
          <w:b/>
          <w:color w:val="auto"/>
          <w:sz w:val="21"/>
          <w:szCs w:val="21"/>
          <w:lang w:val="en-US" w:eastAsia="zh-CN"/>
        </w:rPr>
        <w:t>60</w:t>
      </w:r>
      <w:r>
        <w:rPr>
          <w:rFonts w:hint="eastAsia" w:ascii="宋体" w:hAnsi="宋体" w:eastAsia="宋体"/>
          <w:b/>
          <w:color w:val="auto"/>
          <w:sz w:val="21"/>
          <w:szCs w:val="21"/>
        </w:rPr>
        <w:t>分</w:t>
      </w:r>
      <w:r>
        <w:rPr>
          <w:rFonts w:hint="eastAsia" w:ascii="宋体" w:hAnsi="宋体" w:eastAsia="宋体"/>
          <w:b/>
          <w:color w:val="auto"/>
          <w:sz w:val="21"/>
          <w:szCs w:val="21"/>
          <w:lang w:eastAsia="zh-CN"/>
        </w:rPr>
        <w:t>。</w:t>
      </w:r>
    </w:p>
    <w:p>
      <w:pPr>
        <w:widowControl/>
        <w:spacing w:line="360" w:lineRule="auto"/>
        <w:ind w:firstLine="211" w:firstLineChars="100"/>
        <w:jc w:val="left"/>
        <w:rPr>
          <w:rFonts w:ascii="宋体" w:hAnsi="宋体"/>
          <w:b/>
          <w:color w:val="auto"/>
          <w:kern w:val="0"/>
          <w:szCs w:val="21"/>
        </w:rPr>
      </w:pPr>
      <w:r>
        <w:rPr>
          <w:rFonts w:hint="eastAsia" w:ascii="宋体" w:hAnsi="宋体"/>
          <w:b/>
          <w:color w:val="auto"/>
          <w:kern w:val="0"/>
          <w:szCs w:val="21"/>
        </w:rPr>
        <w:t>注：1.实质性响应</w:t>
      </w:r>
      <w:r>
        <w:rPr>
          <w:rFonts w:hint="eastAsia" w:ascii="宋体" w:hAnsi="宋体"/>
          <w:b/>
          <w:color w:val="auto"/>
          <w:kern w:val="0"/>
          <w:szCs w:val="21"/>
          <w:lang w:eastAsia="zh-CN"/>
        </w:rPr>
        <w:t>遴选文件</w:t>
      </w:r>
      <w:r>
        <w:rPr>
          <w:rFonts w:hint="eastAsia" w:ascii="宋体" w:hAnsi="宋体"/>
          <w:b/>
          <w:color w:val="auto"/>
          <w:kern w:val="0"/>
          <w:szCs w:val="21"/>
        </w:rPr>
        <w:t>要求且最低评标价为评标基准价</w:t>
      </w:r>
    </w:p>
    <w:p>
      <w:pPr>
        <w:tabs>
          <w:tab w:val="left" w:pos="540"/>
        </w:tabs>
        <w:adjustRightInd w:val="0"/>
        <w:spacing w:line="360" w:lineRule="auto"/>
        <w:ind w:firstLine="632" w:firstLineChars="300"/>
        <w:textAlignment w:val="baseline"/>
        <w:rPr>
          <w:rFonts w:ascii="宋体" w:hAnsi="宋体"/>
          <w:b/>
          <w:color w:val="auto"/>
          <w:kern w:val="0"/>
          <w:szCs w:val="21"/>
        </w:rPr>
      </w:pPr>
      <w:r>
        <w:rPr>
          <w:rFonts w:hint="eastAsia" w:ascii="宋体" w:hAnsi="宋体"/>
          <w:b/>
          <w:color w:val="auto"/>
          <w:kern w:val="0"/>
          <w:szCs w:val="21"/>
        </w:rPr>
        <w:t>2.投标人报价低于成本的除外</w:t>
      </w:r>
    </w:p>
    <w:p>
      <w:pPr>
        <w:widowControl/>
        <w:spacing w:line="360" w:lineRule="auto"/>
        <w:ind w:firstLine="632" w:firstLineChars="300"/>
        <w:jc w:val="left"/>
        <w:rPr>
          <w:rFonts w:hint="eastAsia" w:ascii="宋体" w:hAnsi="宋体"/>
          <w:b/>
          <w:color w:val="auto"/>
          <w:kern w:val="0"/>
          <w:szCs w:val="21"/>
        </w:rPr>
      </w:pPr>
      <w:r>
        <w:rPr>
          <w:rFonts w:hint="eastAsia" w:ascii="宋体" w:hAnsi="宋体"/>
          <w:b/>
          <w:color w:val="auto"/>
          <w:kern w:val="0"/>
          <w:szCs w:val="21"/>
        </w:rPr>
        <w:t>3.最低报价不作为中标的保证</w:t>
      </w:r>
    </w:p>
    <w:p>
      <w:pPr>
        <w:pStyle w:val="18"/>
        <w:jc w:val="center"/>
        <w:rPr>
          <w:rFonts w:hint="default" w:ascii="宋体" w:hAnsi="宋体" w:eastAsia="宋体" w:cs="仿宋"/>
          <w:color w:val="auto"/>
          <w:kern w:val="2"/>
          <w:sz w:val="21"/>
          <w:szCs w:val="21"/>
          <w:lang w:val="en-US" w:eastAsia="zh-CN" w:bidi="ar-SA"/>
        </w:rPr>
      </w:pPr>
      <w:r>
        <w:rPr>
          <w:rFonts w:hint="eastAsia" w:ascii="宋体" w:hAnsi="宋体" w:eastAsia="宋体" w:cs="仿宋"/>
          <w:color w:val="auto"/>
          <w:kern w:val="2"/>
          <w:sz w:val="32"/>
          <w:szCs w:val="32"/>
          <w:lang w:val="en-US" w:eastAsia="zh-CN" w:bidi="ar-SA"/>
        </w:rPr>
        <w:t>评分办法</w:t>
      </w:r>
    </w:p>
    <w:tbl>
      <w:tblPr>
        <w:tblStyle w:val="26"/>
        <w:tblpPr w:leftFromText="180" w:rightFromText="180" w:vertAnchor="text" w:horzAnchor="page" w:tblpXSpec="center" w:tblpY="128"/>
        <w:tblOverlap w:val="never"/>
        <w:tblW w:w="8711" w:type="dxa"/>
        <w:jc w:val="center"/>
        <w:tblLayout w:type="fixed"/>
        <w:tblCellMar>
          <w:top w:w="0" w:type="dxa"/>
          <w:left w:w="108" w:type="dxa"/>
          <w:bottom w:w="0" w:type="dxa"/>
          <w:right w:w="108" w:type="dxa"/>
        </w:tblCellMar>
      </w:tblPr>
      <w:tblGrid>
        <w:gridCol w:w="1318"/>
        <w:gridCol w:w="1138"/>
        <w:gridCol w:w="6255"/>
      </w:tblGrid>
      <w:tr>
        <w:tblPrEx>
          <w:tblCellMar>
            <w:top w:w="0" w:type="dxa"/>
            <w:left w:w="108" w:type="dxa"/>
            <w:bottom w:w="0" w:type="dxa"/>
            <w:right w:w="108" w:type="dxa"/>
          </w:tblCellMar>
        </w:tblPrEx>
        <w:trPr>
          <w:trHeight w:val="20" w:hRule="atLeast"/>
          <w:jc w:val="center"/>
        </w:trPr>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lang w:val="en-US" w:eastAsia="zh-CN"/>
              </w:rPr>
              <w:t>评分类别</w:t>
            </w:r>
          </w:p>
        </w:tc>
        <w:tc>
          <w:tcPr>
            <w:tcW w:w="1138"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rPr>
              <w:t>评</w:t>
            </w:r>
            <w:r>
              <w:rPr>
                <w:rFonts w:hint="eastAsia" w:ascii="宋体" w:hAnsi="宋体" w:cs="仿宋"/>
                <w:color w:val="auto"/>
                <w:szCs w:val="21"/>
                <w:lang w:val="en-US" w:eastAsia="zh-CN"/>
              </w:rPr>
              <w:t>审因素及分值</w:t>
            </w:r>
          </w:p>
        </w:tc>
        <w:tc>
          <w:tcPr>
            <w:tcW w:w="6255"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lang w:val="en-US" w:eastAsia="zh-CN"/>
              </w:rPr>
              <w:t>评分原则</w:t>
            </w:r>
          </w:p>
        </w:tc>
      </w:tr>
      <w:tr>
        <w:tblPrEx>
          <w:tblCellMar>
            <w:top w:w="0" w:type="dxa"/>
            <w:left w:w="108" w:type="dxa"/>
            <w:bottom w:w="0" w:type="dxa"/>
            <w:right w:w="108" w:type="dxa"/>
          </w:tblCellMar>
        </w:tblPrEx>
        <w:trPr>
          <w:trHeight w:val="20" w:hRule="atLeast"/>
          <w:jc w:val="center"/>
        </w:trPr>
        <w:tc>
          <w:tcPr>
            <w:tcW w:w="1318" w:type="dxa"/>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lang w:val="en-US" w:eastAsia="zh-CN"/>
              </w:rPr>
              <w:t>价格部分（30分）</w:t>
            </w:r>
          </w:p>
        </w:tc>
        <w:tc>
          <w:tcPr>
            <w:tcW w:w="1138" w:type="dxa"/>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lang w:val="en-US" w:eastAsia="zh-CN"/>
              </w:rPr>
              <w:t>价格</w:t>
            </w:r>
          </w:p>
          <w:p>
            <w:pPr>
              <w:spacing w:line="276" w:lineRule="auto"/>
              <w:rPr>
                <w:rFonts w:hint="eastAsia" w:ascii="宋体" w:hAnsi="宋体" w:cs="仿宋"/>
                <w:color w:val="auto"/>
                <w:szCs w:val="21"/>
                <w:lang w:val="en-US" w:eastAsia="zh-CN"/>
              </w:rPr>
            </w:pPr>
            <w:r>
              <w:rPr>
                <w:rFonts w:hint="eastAsia" w:ascii="宋体" w:hAnsi="宋体" w:cs="仿宋"/>
                <w:color w:val="auto"/>
                <w:szCs w:val="21"/>
                <w:lang w:val="en-US" w:eastAsia="zh-CN"/>
              </w:rPr>
              <w:t>（30分）</w:t>
            </w:r>
          </w:p>
        </w:tc>
        <w:tc>
          <w:tcPr>
            <w:tcW w:w="6255" w:type="dxa"/>
            <w:tcBorders>
              <w:top w:val="single" w:color="auto" w:sz="4" w:space="0"/>
              <w:left w:val="nil"/>
              <w:bottom w:val="single" w:color="auto" w:sz="4" w:space="0"/>
              <w:right w:val="single" w:color="auto" w:sz="4" w:space="0"/>
            </w:tcBorders>
            <w:noWrap w:val="0"/>
            <w:vAlign w:val="center"/>
          </w:tcPr>
          <w:p>
            <w:pPr>
              <w:spacing w:line="276" w:lineRule="auto"/>
              <w:rPr>
                <w:rFonts w:hint="default" w:ascii="宋体" w:hAnsi="宋体" w:cs="仿宋"/>
                <w:color w:val="auto"/>
                <w:szCs w:val="21"/>
                <w:lang w:val="en-US" w:eastAsia="zh-CN"/>
              </w:rPr>
            </w:pPr>
            <w:r>
              <w:rPr>
                <w:rFonts w:hint="eastAsia" w:ascii="宋体" w:hAnsi="宋体" w:cs="仿宋"/>
                <w:color w:val="auto"/>
                <w:szCs w:val="21"/>
                <w:lang w:val="en-US" w:eastAsia="zh-CN"/>
              </w:rPr>
              <w:t>满足遴选文件要求且价格最低的有效报价为基准价，其价格分为满分。其他有效合格价格分按照下列公式计算： 报价得分=(评标基准价／投标报价)×30</w:t>
            </w:r>
          </w:p>
        </w:tc>
      </w:tr>
      <w:tr>
        <w:tblPrEx>
          <w:tblCellMar>
            <w:top w:w="0" w:type="dxa"/>
            <w:left w:w="108" w:type="dxa"/>
            <w:bottom w:w="0" w:type="dxa"/>
            <w:right w:w="108" w:type="dxa"/>
          </w:tblCellMar>
        </w:tblPrEx>
        <w:trPr>
          <w:trHeight w:val="20" w:hRule="atLeast"/>
          <w:jc w:val="center"/>
        </w:trPr>
        <w:tc>
          <w:tcPr>
            <w:tcW w:w="1318" w:type="dxa"/>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lang w:val="en-US" w:eastAsia="zh-CN"/>
              </w:rPr>
              <w:t>商务部分（10分）</w:t>
            </w:r>
          </w:p>
        </w:tc>
        <w:tc>
          <w:tcPr>
            <w:tcW w:w="1138" w:type="dxa"/>
            <w:tcBorders>
              <w:top w:val="nil"/>
              <w:left w:val="single" w:color="auto" w:sz="4" w:space="0"/>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lang w:val="en-US" w:eastAsia="zh-CN"/>
              </w:rPr>
              <w:t>业绩</w:t>
            </w:r>
          </w:p>
          <w:p>
            <w:pPr>
              <w:spacing w:line="276" w:lineRule="auto"/>
              <w:rPr>
                <w:rFonts w:hint="eastAsia" w:ascii="宋体" w:hAnsi="宋体" w:cs="仿宋"/>
                <w:color w:val="auto"/>
                <w:szCs w:val="21"/>
                <w:lang w:val="en-US" w:eastAsia="zh-CN"/>
              </w:rPr>
            </w:pPr>
            <w:r>
              <w:rPr>
                <w:rFonts w:hint="eastAsia" w:ascii="宋体" w:hAnsi="宋体" w:cs="仿宋"/>
                <w:color w:val="auto"/>
                <w:szCs w:val="21"/>
                <w:lang w:val="en-US" w:eastAsia="zh-CN"/>
              </w:rPr>
              <w:t>（10分）</w:t>
            </w:r>
          </w:p>
        </w:tc>
        <w:tc>
          <w:tcPr>
            <w:tcW w:w="6255" w:type="dxa"/>
            <w:tcBorders>
              <w:top w:val="single" w:color="auto" w:sz="4" w:space="0"/>
              <w:left w:val="nil"/>
              <w:bottom w:val="single" w:color="auto" w:sz="4" w:space="0"/>
              <w:right w:val="single" w:color="auto" w:sz="4" w:space="0"/>
            </w:tcBorders>
            <w:noWrap w:val="0"/>
            <w:vAlign w:val="center"/>
          </w:tcPr>
          <w:p>
            <w:pPr>
              <w:pStyle w:val="14"/>
              <w:rPr>
                <w:rFonts w:hint="eastAsia" w:ascii="宋体" w:hAnsi="宋体" w:cs="仿宋"/>
                <w:color w:val="auto"/>
                <w:szCs w:val="21"/>
                <w:lang w:val="en-US" w:eastAsia="zh-CN"/>
              </w:rPr>
            </w:pPr>
            <w:r>
              <w:t>参加本次遴选的</w:t>
            </w:r>
            <w:r>
              <w:rPr>
                <w:rFonts w:hint="eastAsia"/>
                <w:lang w:val="en-US" w:eastAsia="zh-CN"/>
              </w:rPr>
              <w:t>供应商</w:t>
            </w:r>
            <w:r>
              <w:rPr>
                <w:rFonts w:hint="eastAsia" w:ascii="宋体" w:hAnsi="宋体" w:cs="仿宋"/>
                <w:color w:val="auto"/>
                <w:szCs w:val="21"/>
                <w:lang w:val="en-US" w:eastAsia="zh-CN"/>
              </w:rPr>
              <w:t>提供有效服务合同或协议，</w:t>
            </w:r>
            <w:r>
              <w:t>合同或协议签订日期自</w:t>
            </w:r>
            <w:r>
              <w:rPr>
                <w:rFonts w:hint="eastAsia" w:ascii="宋体" w:hAnsi="宋体" w:cs="仿宋"/>
                <w:color w:val="auto"/>
                <w:szCs w:val="21"/>
                <w:lang w:val="en-US" w:eastAsia="zh-CN"/>
              </w:rPr>
              <w:t>2021年6月至今具有与本项目采购需求类似的业绩，每提供1份有效业绩得2分，最高10分。</w:t>
            </w:r>
          </w:p>
          <w:p>
            <w:pPr>
              <w:pStyle w:val="14"/>
              <w:rPr>
                <w:rFonts w:hint="eastAsia" w:ascii="宋体" w:hAnsi="宋体" w:cs="仿宋" w:eastAsiaTheme="minorEastAsia"/>
                <w:color w:val="auto"/>
                <w:szCs w:val="21"/>
                <w:lang w:val="en-US" w:eastAsia="zh-CN"/>
              </w:rPr>
            </w:pPr>
            <w:r>
              <w:rPr>
                <w:rFonts w:hint="eastAsia" w:ascii="宋体" w:hAnsi="宋体" w:cs="仿宋"/>
                <w:color w:val="auto"/>
                <w:szCs w:val="21"/>
                <w:lang w:val="en-US" w:eastAsia="zh-CN"/>
              </w:rPr>
              <w:t>需提供业绩证明材料，合同或协议，证明材料须提供首页、双方盖章页、</w:t>
            </w:r>
            <w:r>
              <w:t>签字、合同签订日期</w:t>
            </w:r>
            <w:r>
              <w:rPr>
                <w:rFonts w:hint="eastAsia"/>
                <w:lang w:eastAsia="zh-CN"/>
              </w:rPr>
              <w:t>。</w:t>
            </w:r>
          </w:p>
        </w:tc>
      </w:tr>
      <w:tr>
        <w:tblPrEx>
          <w:tblCellMar>
            <w:top w:w="0" w:type="dxa"/>
            <w:left w:w="108" w:type="dxa"/>
            <w:bottom w:w="0" w:type="dxa"/>
            <w:right w:w="108" w:type="dxa"/>
          </w:tblCellMar>
        </w:tblPrEx>
        <w:trPr>
          <w:trHeight w:val="20" w:hRule="atLeast"/>
          <w:jc w:val="center"/>
        </w:trPr>
        <w:tc>
          <w:tcPr>
            <w:tcW w:w="1318" w:type="dxa"/>
            <w:vMerge w:val="restart"/>
            <w:tcBorders>
              <w:top w:val="single" w:color="auto" w:sz="4" w:space="0"/>
              <w:left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lang w:val="en-US" w:eastAsia="zh-CN"/>
              </w:rPr>
              <w:t>技术部分（60分）</w:t>
            </w:r>
          </w:p>
        </w:tc>
        <w:tc>
          <w:tcPr>
            <w:tcW w:w="1138"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rPr>
            </w:pPr>
            <w:r>
              <w:rPr>
                <w:rFonts w:hint="eastAsia" w:ascii="宋体" w:hAnsi="宋体" w:cs="仿宋"/>
                <w:color w:val="auto"/>
                <w:szCs w:val="21"/>
              </w:rPr>
              <w:t>需求响应</w:t>
            </w:r>
          </w:p>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lang w:eastAsia="zh-CN"/>
              </w:rPr>
              <w:t>（</w:t>
            </w:r>
            <w:r>
              <w:rPr>
                <w:rFonts w:hint="eastAsia" w:ascii="宋体" w:hAnsi="宋体" w:cs="仿宋"/>
                <w:color w:val="auto"/>
                <w:szCs w:val="21"/>
                <w:lang w:val="en-US" w:eastAsia="zh-CN"/>
              </w:rPr>
              <w:t>20分</w:t>
            </w:r>
            <w:r>
              <w:rPr>
                <w:rFonts w:hint="eastAsia" w:ascii="宋体" w:hAnsi="宋体" w:cs="仿宋"/>
                <w:color w:val="auto"/>
                <w:szCs w:val="21"/>
                <w:lang w:eastAsia="zh-CN"/>
              </w:rPr>
              <w:t>）</w:t>
            </w:r>
          </w:p>
        </w:tc>
        <w:tc>
          <w:tcPr>
            <w:tcW w:w="6255" w:type="dxa"/>
            <w:tcBorders>
              <w:top w:val="single" w:color="auto" w:sz="4" w:space="0"/>
              <w:left w:val="nil"/>
              <w:bottom w:val="single" w:color="auto" w:sz="4" w:space="0"/>
              <w:right w:val="single" w:color="auto" w:sz="4" w:space="0"/>
            </w:tcBorders>
            <w:noWrap w:val="0"/>
            <w:vAlign w:val="center"/>
          </w:tcPr>
          <w:p>
            <w:pPr>
              <w:pStyle w:val="14"/>
              <w:rPr>
                <w:rFonts w:hint="eastAsia" w:ascii="宋体" w:hAnsi="宋体" w:cs="仿宋"/>
                <w:color w:val="auto"/>
                <w:szCs w:val="21"/>
                <w:lang w:val="en-US" w:eastAsia="zh-CN"/>
              </w:rPr>
            </w:pPr>
            <w:r>
              <w:rPr>
                <w:rFonts w:hint="eastAsia" w:ascii="宋体" w:hAnsi="宋体" w:cs="仿宋"/>
                <w:color w:val="auto"/>
                <w:szCs w:val="21"/>
              </w:rPr>
              <w:t>根据对</w:t>
            </w:r>
            <w:r>
              <w:rPr>
                <w:rFonts w:hint="eastAsia" w:ascii="宋体" w:hAnsi="宋体" w:cs="仿宋"/>
                <w:color w:val="auto"/>
                <w:szCs w:val="21"/>
                <w:lang w:eastAsia="zh-CN"/>
              </w:rPr>
              <w:t>遴选文件</w:t>
            </w:r>
            <w:r>
              <w:rPr>
                <w:rFonts w:hint="eastAsia" w:ascii="宋体" w:hAnsi="宋体" w:cs="仿宋"/>
                <w:color w:val="auto"/>
                <w:szCs w:val="21"/>
              </w:rPr>
              <w:t>技术部分的响应情况进行综合评审，最高得</w:t>
            </w:r>
            <w:r>
              <w:rPr>
                <w:rFonts w:hint="eastAsia" w:ascii="宋体" w:hAnsi="宋体" w:cs="仿宋"/>
                <w:color w:val="auto"/>
                <w:szCs w:val="21"/>
                <w:lang w:val="en-US" w:eastAsia="zh-CN"/>
              </w:rPr>
              <w:t>15</w:t>
            </w:r>
            <w:r>
              <w:rPr>
                <w:rFonts w:hint="eastAsia" w:ascii="宋体" w:hAnsi="宋体" w:cs="仿宋"/>
                <w:color w:val="auto"/>
                <w:szCs w:val="21"/>
              </w:rPr>
              <w:t>分，一项</w:t>
            </w:r>
            <w:r>
              <w:t>非</w:t>
            </w:r>
            <w:r>
              <w:rPr>
                <w:rFonts w:hint="eastAsia" w:ascii="宋体" w:hAnsi="宋体" w:cs="仿宋"/>
                <w:color w:val="auto"/>
                <w:szCs w:val="21"/>
              </w:rPr>
              <w:t>#指标不满足扣</w:t>
            </w:r>
            <w:r>
              <w:rPr>
                <w:rFonts w:hint="eastAsia" w:ascii="宋体" w:hAnsi="宋体" w:cs="仿宋"/>
                <w:color w:val="auto"/>
                <w:szCs w:val="21"/>
                <w:lang w:val="en-US" w:eastAsia="zh-CN"/>
              </w:rPr>
              <w:t>4</w:t>
            </w:r>
            <w:r>
              <w:rPr>
                <w:rFonts w:hint="eastAsia" w:ascii="宋体" w:hAnsi="宋体" w:cs="仿宋"/>
                <w:color w:val="auto"/>
                <w:szCs w:val="21"/>
              </w:rPr>
              <w:t xml:space="preserve">分， </w:t>
            </w:r>
            <w:r>
              <w:rPr>
                <w:rFonts w:hint="eastAsia" w:ascii="宋体" w:hAnsi="宋体" w:cs="仿宋"/>
                <w:color w:val="auto"/>
                <w:szCs w:val="21"/>
                <w:lang w:val="en-US" w:eastAsia="zh-CN"/>
              </w:rPr>
              <w:t>带</w:t>
            </w:r>
            <w:r>
              <w:rPr>
                <w:rFonts w:hint="eastAsia" w:ascii="宋体" w:hAnsi="宋体" w:cs="仿宋"/>
                <w:color w:val="auto"/>
                <w:szCs w:val="21"/>
              </w:rPr>
              <w:t>#指标不满足扣</w:t>
            </w:r>
            <w:r>
              <w:rPr>
                <w:rFonts w:hint="eastAsia" w:ascii="宋体" w:hAnsi="宋体" w:cs="仿宋"/>
                <w:color w:val="auto"/>
                <w:szCs w:val="21"/>
                <w:lang w:val="en-US" w:eastAsia="zh-CN"/>
              </w:rPr>
              <w:t>5</w:t>
            </w:r>
            <w:r>
              <w:rPr>
                <w:rFonts w:hint="eastAsia" w:ascii="宋体" w:hAnsi="宋体" w:cs="仿宋"/>
                <w:color w:val="auto"/>
                <w:szCs w:val="21"/>
              </w:rPr>
              <w:t>分，扣完为止。</w:t>
            </w:r>
          </w:p>
        </w:tc>
      </w:tr>
      <w:tr>
        <w:tblPrEx>
          <w:tblCellMar>
            <w:top w:w="0" w:type="dxa"/>
            <w:left w:w="108" w:type="dxa"/>
            <w:bottom w:w="0" w:type="dxa"/>
            <w:right w:w="108" w:type="dxa"/>
          </w:tblCellMar>
        </w:tblPrEx>
        <w:trPr>
          <w:trHeight w:val="2629" w:hRule="atLeast"/>
          <w:jc w:val="center"/>
        </w:trPr>
        <w:tc>
          <w:tcPr>
            <w:tcW w:w="1318" w:type="dxa"/>
            <w:vMerge w:val="continue"/>
            <w:tcBorders>
              <w:left w:val="single" w:color="auto" w:sz="4" w:space="0"/>
              <w:bottom w:val="single" w:color="auto" w:sz="4" w:space="0"/>
              <w:right w:val="single" w:color="auto" w:sz="4" w:space="0"/>
            </w:tcBorders>
            <w:noWrap w:val="0"/>
            <w:vAlign w:val="center"/>
          </w:tcPr>
          <w:p>
            <w:pPr>
              <w:spacing w:line="276" w:lineRule="auto"/>
              <w:rPr>
                <w:rFonts w:hint="eastAsia" w:ascii="宋体" w:hAnsi="宋体" w:cs="仿宋"/>
                <w:color w:val="auto"/>
                <w:szCs w:val="21"/>
                <w:lang w:val="en-US" w:eastAsia="zh-CN"/>
              </w:rPr>
            </w:pPr>
          </w:p>
        </w:tc>
        <w:tc>
          <w:tcPr>
            <w:tcW w:w="1138"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rPr>
              <w:t>服务方案</w:t>
            </w:r>
            <w:r>
              <w:rPr>
                <w:rFonts w:hint="eastAsia" w:ascii="宋体" w:hAnsi="宋体" w:cs="仿宋"/>
                <w:color w:val="auto"/>
                <w:szCs w:val="21"/>
                <w:lang w:eastAsia="zh-CN"/>
              </w:rPr>
              <w:t>（</w:t>
            </w:r>
            <w:r>
              <w:rPr>
                <w:rFonts w:hint="eastAsia" w:ascii="宋体" w:hAnsi="宋体" w:cs="仿宋"/>
                <w:color w:val="auto"/>
                <w:szCs w:val="21"/>
              </w:rPr>
              <w:t>10</w:t>
            </w:r>
            <w:r>
              <w:rPr>
                <w:rFonts w:hint="eastAsia" w:ascii="宋体" w:hAnsi="宋体" w:cs="仿宋"/>
                <w:color w:val="auto"/>
                <w:szCs w:val="21"/>
                <w:lang w:val="en-US" w:eastAsia="zh-CN"/>
              </w:rPr>
              <w:t>分</w:t>
            </w:r>
            <w:r>
              <w:rPr>
                <w:rFonts w:hint="eastAsia" w:ascii="宋体" w:hAnsi="宋体" w:cs="仿宋"/>
                <w:color w:val="auto"/>
                <w:szCs w:val="21"/>
                <w:lang w:eastAsia="zh-CN"/>
              </w:rPr>
              <w:t>）</w:t>
            </w:r>
          </w:p>
        </w:tc>
        <w:tc>
          <w:tcPr>
            <w:tcW w:w="6255" w:type="dxa"/>
            <w:tcBorders>
              <w:top w:val="nil"/>
              <w:left w:val="nil"/>
              <w:bottom w:val="single" w:color="auto" w:sz="4" w:space="0"/>
              <w:right w:val="single" w:color="auto" w:sz="4" w:space="0"/>
            </w:tcBorders>
            <w:noWrap w:val="0"/>
            <w:vAlign w:val="center"/>
          </w:tcPr>
          <w:p>
            <w:pPr>
              <w:spacing w:line="276" w:lineRule="auto"/>
              <w:rPr>
                <w:rFonts w:hint="eastAsia" w:ascii="宋体" w:hAnsi="宋体" w:cs="仿宋"/>
                <w:color w:val="auto"/>
                <w:szCs w:val="21"/>
              </w:rPr>
            </w:pPr>
            <w:r>
              <w:rPr>
                <w:rFonts w:hint="eastAsia" w:ascii="宋体" w:hAnsi="宋体" w:cs="仿宋"/>
                <w:color w:val="auto"/>
                <w:szCs w:val="21"/>
              </w:rPr>
              <w:t>根据提供服务方案进行综合评审；</w:t>
            </w:r>
          </w:p>
          <w:p>
            <w:pPr>
              <w:spacing w:line="276" w:lineRule="auto"/>
              <w:rPr>
                <w:rFonts w:hint="eastAsia" w:ascii="宋体" w:hAnsi="宋体" w:cs="仿宋"/>
                <w:color w:val="auto"/>
                <w:szCs w:val="21"/>
              </w:rPr>
            </w:pPr>
            <w:r>
              <w:rPr>
                <w:rFonts w:hint="eastAsia" w:ascii="宋体" w:hAnsi="宋体" w:cs="仿宋"/>
                <w:color w:val="auto"/>
                <w:szCs w:val="21"/>
              </w:rPr>
              <w:t>运作流程设计清晰，服务方案完善，符合采购人的实际情况和需求得10分；</w:t>
            </w:r>
          </w:p>
          <w:p>
            <w:pPr>
              <w:spacing w:line="276" w:lineRule="auto"/>
              <w:rPr>
                <w:rFonts w:hint="eastAsia" w:ascii="宋体" w:hAnsi="宋体" w:cs="仿宋"/>
                <w:color w:val="auto"/>
                <w:szCs w:val="21"/>
              </w:rPr>
            </w:pPr>
            <w:r>
              <w:rPr>
                <w:rFonts w:hint="eastAsia" w:ascii="宋体" w:hAnsi="宋体" w:cs="仿宋"/>
                <w:color w:val="auto"/>
                <w:szCs w:val="21"/>
              </w:rPr>
              <w:t>运作流程设计一般清晰，服务方案一般完善，基本符合采购人的实际情况和需求得</w:t>
            </w:r>
            <w:r>
              <w:rPr>
                <w:rFonts w:hint="eastAsia" w:ascii="宋体" w:hAnsi="宋体" w:cs="仿宋"/>
                <w:color w:val="auto"/>
                <w:szCs w:val="21"/>
                <w:lang w:val="en-US" w:eastAsia="zh-CN"/>
              </w:rPr>
              <w:t>6</w:t>
            </w:r>
            <w:r>
              <w:rPr>
                <w:rFonts w:hint="eastAsia" w:ascii="宋体" w:hAnsi="宋体" w:cs="仿宋"/>
                <w:color w:val="auto"/>
                <w:szCs w:val="21"/>
              </w:rPr>
              <w:t>分；</w:t>
            </w:r>
          </w:p>
          <w:p>
            <w:pPr>
              <w:spacing w:line="276" w:lineRule="auto"/>
              <w:rPr>
                <w:rFonts w:hint="eastAsia" w:ascii="宋体" w:hAnsi="宋体" w:cs="仿宋"/>
                <w:color w:val="auto"/>
                <w:szCs w:val="21"/>
              </w:rPr>
            </w:pPr>
            <w:r>
              <w:rPr>
                <w:rFonts w:hint="eastAsia" w:ascii="宋体" w:hAnsi="宋体" w:cs="仿宋"/>
                <w:color w:val="auto"/>
                <w:szCs w:val="21"/>
              </w:rPr>
              <w:t>运作流程设计较差，服务方案完善性较差，不符合采购人的实际情况和需求得</w:t>
            </w:r>
            <w:r>
              <w:rPr>
                <w:rFonts w:hint="eastAsia" w:ascii="宋体" w:hAnsi="宋体" w:cs="仿宋"/>
                <w:color w:val="auto"/>
                <w:szCs w:val="21"/>
                <w:lang w:val="en-US" w:eastAsia="zh-CN"/>
              </w:rPr>
              <w:t>2</w:t>
            </w:r>
            <w:r>
              <w:rPr>
                <w:rFonts w:hint="eastAsia" w:ascii="宋体" w:hAnsi="宋体" w:cs="仿宋"/>
                <w:color w:val="auto"/>
                <w:szCs w:val="21"/>
              </w:rPr>
              <w:t>分。</w:t>
            </w:r>
          </w:p>
          <w:p>
            <w:pPr>
              <w:spacing w:line="276" w:lineRule="auto"/>
              <w:rPr>
                <w:rFonts w:hint="eastAsia" w:ascii="宋体" w:hAnsi="宋体" w:cs="仿宋"/>
                <w:color w:val="auto"/>
                <w:szCs w:val="21"/>
                <w:lang w:val="en-US" w:eastAsia="zh-CN"/>
              </w:rPr>
            </w:pPr>
            <w:r>
              <w:rPr>
                <w:rFonts w:hint="eastAsia" w:ascii="宋体" w:hAnsi="宋体" w:cs="仿宋"/>
                <w:color w:val="auto"/>
                <w:szCs w:val="21"/>
              </w:rPr>
              <w:t>未提供不得分。</w:t>
            </w:r>
          </w:p>
        </w:tc>
      </w:tr>
      <w:tr>
        <w:tblPrEx>
          <w:tblCellMar>
            <w:top w:w="0" w:type="dxa"/>
            <w:left w:w="108" w:type="dxa"/>
            <w:bottom w:w="0" w:type="dxa"/>
            <w:right w:w="108" w:type="dxa"/>
          </w:tblCellMar>
        </w:tblPrEx>
        <w:trPr>
          <w:trHeight w:val="2943" w:hRule="atLeast"/>
          <w:jc w:val="center"/>
        </w:trPr>
        <w:tc>
          <w:tcPr>
            <w:tcW w:w="131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hint="eastAsia" w:ascii="宋体" w:hAnsi="宋体" w:cs="仿宋"/>
                <w:color w:val="auto"/>
                <w:szCs w:val="21"/>
                <w:lang w:val="en-US" w:eastAsia="zh-CN"/>
              </w:rPr>
            </w:pPr>
          </w:p>
        </w:tc>
        <w:tc>
          <w:tcPr>
            <w:tcW w:w="1138"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rPr>
              <w:t>管理制度及应急预案</w:t>
            </w:r>
            <w:r>
              <w:rPr>
                <w:rFonts w:hint="eastAsia" w:ascii="宋体" w:hAnsi="宋体" w:cs="仿宋"/>
                <w:color w:val="auto"/>
                <w:szCs w:val="21"/>
                <w:lang w:eastAsia="zh-CN"/>
              </w:rPr>
              <w:t>（</w:t>
            </w:r>
            <w:r>
              <w:rPr>
                <w:rFonts w:hint="eastAsia" w:ascii="宋体" w:hAnsi="宋体" w:cs="仿宋"/>
                <w:color w:val="auto"/>
                <w:szCs w:val="21"/>
                <w:lang w:val="en-US" w:eastAsia="zh-CN"/>
              </w:rPr>
              <w:t>10分</w:t>
            </w:r>
            <w:r>
              <w:rPr>
                <w:rFonts w:hint="eastAsia" w:ascii="宋体" w:hAnsi="宋体" w:cs="仿宋"/>
                <w:color w:val="auto"/>
                <w:szCs w:val="21"/>
                <w:lang w:eastAsia="zh-CN"/>
              </w:rPr>
              <w:t>）</w:t>
            </w:r>
          </w:p>
        </w:tc>
        <w:tc>
          <w:tcPr>
            <w:tcW w:w="6255" w:type="dxa"/>
            <w:tcBorders>
              <w:top w:val="single" w:color="auto" w:sz="4" w:space="0"/>
              <w:left w:val="nil"/>
              <w:bottom w:val="single" w:color="auto" w:sz="4" w:space="0"/>
              <w:right w:val="single" w:color="auto" w:sz="4" w:space="0"/>
            </w:tcBorders>
            <w:noWrap w:val="0"/>
            <w:vAlign w:val="center"/>
          </w:tcPr>
          <w:p>
            <w:pPr>
              <w:spacing w:line="276" w:lineRule="auto"/>
              <w:rPr>
                <w:rFonts w:hint="eastAsia" w:ascii="宋体" w:hAnsi="宋体" w:cs="仿宋"/>
                <w:color w:val="auto"/>
                <w:szCs w:val="21"/>
              </w:rPr>
            </w:pPr>
            <w:r>
              <w:rPr>
                <w:rFonts w:hint="eastAsia" w:ascii="宋体" w:hAnsi="宋体" w:cs="仿宋"/>
                <w:color w:val="auto"/>
                <w:szCs w:val="21"/>
              </w:rPr>
              <w:t>根据提供的体检操作标准及</w:t>
            </w:r>
            <w:r>
              <w:rPr>
                <w:rFonts w:hint="eastAsia" w:ascii="宋体" w:hAnsi="宋体" w:cs="仿宋"/>
                <w:color w:val="auto"/>
                <w:szCs w:val="21"/>
                <w:lang w:val="en-US" w:eastAsia="zh-CN"/>
              </w:rPr>
              <w:t>制度</w:t>
            </w:r>
            <w:r>
              <w:rPr>
                <w:rFonts w:hint="eastAsia" w:ascii="宋体" w:hAnsi="宋体" w:cs="仿宋"/>
                <w:color w:val="auto"/>
                <w:szCs w:val="21"/>
              </w:rPr>
              <w:t>、体检全过程质量管理体系以及突发事件应急管理预案等进行综合评审；</w:t>
            </w:r>
          </w:p>
          <w:p>
            <w:pPr>
              <w:spacing w:line="276" w:lineRule="auto"/>
              <w:rPr>
                <w:rFonts w:hint="eastAsia" w:ascii="宋体" w:hAnsi="宋体" w:cs="仿宋"/>
                <w:color w:val="auto"/>
                <w:szCs w:val="21"/>
              </w:rPr>
            </w:pPr>
            <w:r>
              <w:rPr>
                <w:rFonts w:hint="eastAsia" w:ascii="宋体" w:hAnsi="宋体" w:cs="仿宋"/>
                <w:color w:val="auto"/>
                <w:szCs w:val="21"/>
              </w:rPr>
              <w:t>体检操作标准及</w:t>
            </w:r>
            <w:r>
              <w:rPr>
                <w:rFonts w:hint="eastAsia" w:ascii="宋体" w:hAnsi="宋体" w:cs="仿宋"/>
                <w:color w:val="auto"/>
                <w:szCs w:val="21"/>
                <w:lang w:val="en-US" w:eastAsia="zh-CN"/>
              </w:rPr>
              <w:t>制度</w:t>
            </w:r>
            <w:r>
              <w:rPr>
                <w:rFonts w:hint="eastAsia" w:ascii="宋体" w:hAnsi="宋体" w:cs="仿宋"/>
                <w:color w:val="auto"/>
                <w:szCs w:val="21"/>
              </w:rPr>
              <w:t>、体检全过程质量管理体系以及突发事件应急管理预案齐备，完整性强得</w:t>
            </w:r>
            <w:r>
              <w:rPr>
                <w:rFonts w:hint="eastAsia" w:ascii="宋体" w:hAnsi="宋体" w:cs="仿宋"/>
                <w:color w:val="auto"/>
                <w:szCs w:val="21"/>
                <w:lang w:val="en-US" w:eastAsia="zh-CN"/>
              </w:rPr>
              <w:t>10</w:t>
            </w:r>
            <w:r>
              <w:rPr>
                <w:rFonts w:hint="eastAsia" w:ascii="宋体" w:hAnsi="宋体" w:cs="仿宋"/>
                <w:color w:val="auto"/>
                <w:szCs w:val="21"/>
              </w:rPr>
              <w:t>分；</w:t>
            </w:r>
          </w:p>
          <w:p>
            <w:pPr>
              <w:spacing w:line="276" w:lineRule="auto"/>
              <w:rPr>
                <w:rFonts w:hint="eastAsia" w:ascii="宋体" w:hAnsi="宋体" w:cs="仿宋"/>
                <w:color w:val="auto"/>
                <w:szCs w:val="21"/>
              </w:rPr>
            </w:pPr>
            <w:r>
              <w:rPr>
                <w:rFonts w:hint="eastAsia" w:ascii="宋体" w:hAnsi="宋体" w:cs="仿宋"/>
                <w:color w:val="auto"/>
                <w:szCs w:val="21"/>
              </w:rPr>
              <w:t>体检操作标准及</w:t>
            </w:r>
            <w:r>
              <w:rPr>
                <w:rFonts w:hint="eastAsia" w:ascii="宋体" w:hAnsi="宋体" w:cs="仿宋"/>
                <w:color w:val="auto"/>
                <w:szCs w:val="21"/>
                <w:lang w:val="en-US" w:eastAsia="zh-CN"/>
              </w:rPr>
              <w:t>制度</w:t>
            </w:r>
            <w:r>
              <w:rPr>
                <w:rFonts w:hint="eastAsia" w:ascii="宋体" w:hAnsi="宋体" w:cs="仿宋"/>
                <w:color w:val="auto"/>
                <w:szCs w:val="21"/>
              </w:rPr>
              <w:t>、体检全过程质量管理体系以及突发事件应急管理预案一般齐备，完整性一般得</w:t>
            </w:r>
            <w:r>
              <w:rPr>
                <w:rFonts w:hint="eastAsia" w:ascii="宋体" w:hAnsi="宋体" w:cs="仿宋"/>
                <w:color w:val="auto"/>
                <w:szCs w:val="21"/>
                <w:lang w:val="en-US" w:eastAsia="zh-CN"/>
              </w:rPr>
              <w:t>6</w:t>
            </w:r>
            <w:r>
              <w:rPr>
                <w:rFonts w:hint="eastAsia" w:ascii="宋体" w:hAnsi="宋体" w:cs="仿宋"/>
                <w:color w:val="auto"/>
                <w:szCs w:val="21"/>
              </w:rPr>
              <w:t>分；</w:t>
            </w:r>
          </w:p>
          <w:p>
            <w:pPr>
              <w:spacing w:line="276" w:lineRule="auto"/>
              <w:rPr>
                <w:rFonts w:hint="eastAsia" w:ascii="宋体" w:hAnsi="宋体" w:cs="仿宋"/>
                <w:color w:val="auto"/>
                <w:szCs w:val="21"/>
              </w:rPr>
            </w:pPr>
            <w:r>
              <w:rPr>
                <w:rFonts w:hint="eastAsia" w:ascii="宋体" w:hAnsi="宋体" w:cs="仿宋"/>
                <w:color w:val="auto"/>
                <w:szCs w:val="21"/>
              </w:rPr>
              <w:t>体检操作标准及</w:t>
            </w:r>
            <w:r>
              <w:rPr>
                <w:rFonts w:hint="eastAsia" w:ascii="宋体" w:hAnsi="宋体" w:cs="仿宋"/>
                <w:color w:val="auto"/>
                <w:szCs w:val="21"/>
                <w:lang w:val="en-US" w:eastAsia="zh-CN"/>
              </w:rPr>
              <w:t>制度</w:t>
            </w:r>
            <w:r>
              <w:rPr>
                <w:rFonts w:hint="eastAsia" w:ascii="宋体" w:hAnsi="宋体" w:cs="仿宋"/>
                <w:color w:val="auto"/>
                <w:szCs w:val="21"/>
              </w:rPr>
              <w:t>、体检全过程质量管理体系以及突发事件应急管理预案较差，完整性较差得</w:t>
            </w:r>
            <w:r>
              <w:rPr>
                <w:rFonts w:hint="eastAsia" w:ascii="宋体" w:hAnsi="宋体" w:cs="仿宋"/>
                <w:color w:val="auto"/>
                <w:szCs w:val="21"/>
                <w:lang w:val="en-US" w:eastAsia="zh-CN"/>
              </w:rPr>
              <w:t>2</w:t>
            </w:r>
            <w:r>
              <w:rPr>
                <w:rFonts w:hint="eastAsia" w:ascii="宋体" w:hAnsi="宋体" w:cs="仿宋"/>
                <w:color w:val="auto"/>
                <w:szCs w:val="21"/>
              </w:rPr>
              <w:t>分.</w:t>
            </w:r>
          </w:p>
          <w:p>
            <w:pPr>
              <w:spacing w:line="276" w:lineRule="auto"/>
              <w:rPr>
                <w:rFonts w:hint="eastAsia" w:ascii="宋体" w:hAnsi="宋体" w:cs="仿宋"/>
                <w:color w:val="auto"/>
                <w:szCs w:val="21"/>
                <w:lang w:val="en-US" w:eastAsia="zh-CN"/>
              </w:rPr>
            </w:pPr>
            <w:r>
              <w:rPr>
                <w:rFonts w:hint="eastAsia" w:ascii="宋体" w:hAnsi="宋体" w:cs="仿宋"/>
                <w:color w:val="auto"/>
                <w:szCs w:val="21"/>
              </w:rPr>
              <w:t>未提供不得分。</w:t>
            </w:r>
          </w:p>
        </w:tc>
      </w:tr>
      <w:tr>
        <w:tblPrEx>
          <w:tblCellMar>
            <w:top w:w="0" w:type="dxa"/>
            <w:left w:w="108" w:type="dxa"/>
            <w:bottom w:w="0" w:type="dxa"/>
            <w:right w:w="108" w:type="dxa"/>
          </w:tblCellMar>
        </w:tblPrEx>
        <w:trPr>
          <w:trHeight w:val="1896" w:hRule="atLeast"/>
          <w:jc w:val="center"/>
        </w:trPr>
        <w:tc>
          <w:tcPr>
            <w:tcW w:w="1318" w:type="dxa"/>
            <w:vMerge w:val="continue"/>
            <w:tcBorders>
              <w:left w:val="single" w:color="auto" w:sz="4" w:space="0"/>
              <w:bottom w:val="single" w:color="auto" w:sz="4" w:space="0"/>
              <w:right w:val="single" w:color="auto" w:sz="4" w:space="0"/>
            </w:tcBorders>
            <w:noWrap w:val="0"/>
            <w:vAlign w:val="center"/>
          </w:tcPr>
          <w:p>
            <w:pPr>
              <w:spacing w:line="276" w:lineRule="auto"/>
              <w:rPr>
                <w:rFonts w:hint="eastAsia" w:ascii="宋体" w:hAnsi="宋体" w:cs="仿宋"/>
                <w:color w:val="auto"/>
                <w:szCs w:val="21"/>
                <w:lang w:val="en-US" w:eastAsia="zh-CN"/>
              </w:rPr>
            </w:pPr>
          </w:p>
        </w:tc>
        <w:tc>
          <w:tcPr>
            <w:tcW w:w="1138"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rPr>
              <w:t>人员配备</w:t>
            </w:r>
            <w:r>
              <w:rPr>
                <w:rFonts w:hint="eastAsia" w:ascii="宋体" w:hAnsi="宋体" w:cs="仿宋"/>
                <w:color w:val="auto"/>
                <w:szCs w:val="21"/>
                <w:lang w:eastAsia="zh-CN"/>
              </w:rPr>
              <w:t>（</w:t>
            </w:r>
            <w:r>
              <w:rPr>
                <w:rFonts w:hint="eastAsia" w:ascii="宋体" w:hAnsi="宋体" w:cs="仿宋"/>
                <w:color w:val="auto"/>
                <w:szCs w:val="21"/>
                <w:lang w:val="en-US" w:eastAsia="zh-CN"/>
              </w:rPr>
              <w:t>10分</w:t>
            </w:r>
            <w:r>
              <w:rPr>
                <w:rFonts w:hint="eastAsia" w:ascii="宋体" w:hAnsi="宋体" w:cs="仿宋"/>
                <w:color w:val="auto"/>
                <w:szCs w:val="21"/>
                <w:lang w:eastAsia="zh-CN"/>
              </w:rPr>
              <w:t>）</w:t>
            </w:r>
          </w:p>
        </w:tc>
        <w:tc>
          <w:tcPr>
            <w:tcW w:w="6255" w:type="dxa"/>
            <w:tcBorders>
              <w:top w:val="nil"/>
              <w:left w:val="nil"/>
              <w:bottom w:val="single" w:color="auto" w:sz="4" w:space="0"/>
              <w:right w:val="single" w:color="auto" w:sz="4" w:space="0"/>
            </w:tcBorders>
            <w:noWrap w:val="0"/>
            <w:vAlign w:val="center"/>
          </w:tcPr>
          <w:p>
            <w:pPr>
              <w:spacing w:line="276" w:lineRule="auto"/>
              <w:rPr>
                <w:rFonts w:hint="eastAsia" w:ascii="宋体" w:hAnsi="宋体" w:cs="仿宋"/>
                <w:color w:val="auto"/>
                <w:szCs w:val="21"/>
              </w:rPr>
            </w:pPr>
            <w:r>
              <w:rPr>
                <w:rFonts w:hint="eastAsia" w:ascii="宋体" w:hAnsi="宋体" w:cs="仿宋"/>
                <w:color w:val="auto"/>
                <w:szCs w:val="21"/>
              </w:rPr>
              <w:t>根据拟派人员配置、专业、完善且持有相应的上岗证书等进行综合评审；</w:t>
            </w:r>
          </w:p>
          <w:p>
            <w:pPr>
              <w:spacing w:line="276" w:lineRule="auto"/>
              <w:rPr>
                <w:rFonts w:hint="eastAsia" w:ascii="宋体" w:hAnsi="宋体" w:cs="仿宋"/>
                <w:color w:val="auto"/>
                <w:szCs w:val="21"/>
              </w:rPr>
            </w:pPr>
            <w:r>
              <w:rPr>
                <w:rFonts w:hint="eastAsia" w:ascii="宋体" w:hAnsi="宋体" w:cs="仿宋"/>
                <w:color w:val="auto"/>
                <w:szCs w:val="21"/>
              </w:rPr>
              <w:t>团队结构科学合理、工作经验丰富，得</w:t>
            </w:r>
            <w:r>
              <w:rPr>
                <w:rFonts w:hint="eastAsia" w:ascii="宋体" w:hAnsi="宋体" w:cs="仿宋"/>
                <w:color w:val="auto"/>
                <w:szCs w:val="21"/>
                <w:lang w:val="en-US" w:eastAsia="zh-CN"/>
              </w:rPr>
              <w:t>10</w:t>
            </w:r>
            <w:r>
              <w:rPr>
                <w:rFonts w:hint="eastAsia" w:ascii="宋体" w:hAnsi="宋体" w:cs="仿宋"/>
                <w:color w:val="auto"/>
                <w:szCs w:val="21"/>
              </w:rPr>
              <w:t>分；</w:t>
            </w:r>
          </w:p>
          <w:p>
            <w:pPr>
              <w:spacing w:line="276" w:lineRule="auto"/>
              <w:rPr>
                <w:rFonts w:hint="eastAsia" w:ascii="宋体" w:hAnsi="宋体" w:cs="仿宋"/>
                <w:color w:val="auto"/>
                <w:szCs w:val="21"/>
              </w:rPr>
            </w:pPr>
            <w:r>
              <w:rPr>
                <w:rFonts w:hint="eastAsia" w:ascii="宋体" w:hAnsi="宋体" w:cs="仿宋"/>
                <w:color w:val="auto"/>
                <w:szCs w:val="21"/>
              </w:rPr>
              <w:t>团队结构一般合理，工作经验一般，得</w:t>
            </w:r>
            <w:r>
              <w:rPr>
                <w:rFonts w:hint="eastAsia" w:ascii="宋体" w:hAnsi="宋体" w:cs="仿宋"/>
                <w:color w:val="auto"/>
                <w:szCs w:val="21"/>
                <w:lang w:val="en-US" w:eastAsia="zh-CN"/>
              </w:rPr>
              <w:t>6</w:t>
            </w:r>
            <w:r>
              <w:rPr>
                <w:rFonts w:hint="eastAsia" w:ascii="宋体" w:hAnsi="宋体" w:cs="仿宋"/>
                <w:color w:val="auto"/>
                <w:szCs w:val="21"/>
              </w:rPr>
              <w:t>分；</w:t>
            </w:r>
          </w:p>
          <w:p>
            <w:pPr>
              <w:spacing w:line="276" w:lineRule="auto"/>
              <w:rPr>
                <w:rFonts w:hint="eastAsia" w:ascii="宋体" w:hAnsi="宋体" w:cs="仿宋"/>
                <w:color w:val="auto"/>
                <w:szCs w:val="21"/>
              </w:rPr>
            </w:pPr>
            <w:r>
              <w:rPr>
                <w:rFonts w:hint="eastAsia" w:ascii="宋体" w:hAnsi="宋体" w:cs="仿宋"/>
                <w:color w:val="auto"/>
                <w:szCs w:val="21"/>
              </w:rPr>
              <w:t>团队结构较差，工作经验较差，得</w:t>
            </w:r>
            <w:r>
              <w:rPr>
                <w:rFonts w:hint="eastAsia" w:ascii="宋体" w:hAnsi="宋体" w:cs="仿宋"/>
                <w:color w:val="auto"/>
                <w:szCs w:val="21"/>
                <w:lang w:val="en-US" w:eastAsia="zh-CN"/>
              </w:rPr>
              <w:t>2</w:t>
            </w:r>
            <w:r>
              <w:rPr>
                <w:rFonts w:hint="eastAsia" w:ascii="宋体" w:hAnsi="宋体" w:cs="仿宋"/>
                <w:color w:val="auto"/>
                <w:szCs w:val="21"/>
              </w:rPr>
              <w:t>分；</w:t>
            </w:r>
          </w:p>
          <w:p>
            <w:pPr>
              <w:spacing w:line="276" w:lineRule="auto"/>
              <w:rPr>
                <w:rFonts w:hint="eastAsia" w:ascii="宋体" w:hAnsi="宋体" w:cs="仿宋"/>
                <w:color w:val="auto"/>
                <w:szCs w:val="21"/>
                <w:lang w:val="en-US" w:eastAsia="zh-CN"/>
              </w:rPr>
            </w:pPr>
            <w:r>
              <w:rPr>
                <w:rFonts w:hint="eastAsia" w:ascii="宋体" w:hAnsi="宋体" w:cs="仿宋"/>
                <w:color w:val="auto"/>
                <w:szCs w:val="21"/>
              </w:rPr>
              <w:t>未提供不得分。</w:t>
            </w:r>
          </w:p>
        </w:tc>
      </w:tr>
      <w:tr>
        <w:tblPrEx>
          <w:tblCellMar>
            <w:top w:w="0" w:type="dxa"/>
            <w:left w:w="108" w:type="dxa"/>
            <w:bottom w:w="0" w:type="dxa"/>
            <w:right w:w="108" w:type="dxa"/>
          </w:tblCellMar>
        </w:tblPrEx>
        <w:trPr>
          <w:trHeight w:val="1712" w:hRule="atLeast"/>
          <w:jc w:val="center"/>
        </w:trPr>
        <w:tc>
          <w:tcPr>
            <w:tcW w:w="1318" w:type="dxa"/>
            <w:vMerge w:val="continue"/>
            <w:tcBorders>
              <w:left w:val="single" w:color="auto" w:sz="4" w:space="0"/>
              <w:bottom w:val="single" w:color="auto" w:sz="4" w:space="0"/>
              <w:right w:val="single" w:color="auto" w:sz="4" w:space="0"/>
            </w:tcBorders>
            <w:noWrap w:val="0"/>
            <w:vAlign w:val="center"/>
          </w:tcPr>
          <w:p>
            <w:pPr>
              <w:spacing w:line="276" w:lineRule="auto"/>
              <w:rPr>
                <w:rFonts w:hint="eastAsia" w:ascii="宋体" w:hAnsi="宋体" w:cs="仿宋"/>
                <w:color w:val="auto"/>
                <w:szCs w:val="21"/>
                <w:lang w:val="en-US" w:eastAsia="zh-CN"/>
              </w:rPr>
            </w:pPr>
          </w:p>
        </w:tc>
        <w:tc>
          <w:tcPr>
            <w:tcW w:w="1138" w:type="dxa"/>
            <w:tcBorders>
              <w:top w:val="single" w:color="auto" w:sz="4" w:space="0"/>
              <w:left w:val="nil"/>
              <w:bottom w:val="single" w:color="auto" w:sz="4" w:space="0"/>
              <w:right w:val="single" w:color="auto" w:sz="4" w:space="0"/>
            </w:tcBorders>
            <w:noWrap w:val="0"/>
            <w:vAlign w:val="center"/>
          </w:tcPr>
          <w:p>
            <w:pPr>
              <w:spacing w:line="276" w:lineRule="auto"/>
              <w:jc w:val="center"/>
              <w:rPr>
                <w:rFonts w:hint="eastAsia" w:ascii="宋体" w:hAnsi="宋体" w:cs="仿宋"/>
                <w:color w:val="auto"/>
                <w:szCs w:val="21"/>
                <w:lang w:val="en-US" w:eastAsia="zh-CN"/>
              </w:rPr>
            </w:pPr>
            <w:r>
              <w:rPr>
                <w:rFonts w:hint="eastAsia" w:ascii="宋体" w:hAnsi="宋体" w:cs="仿宋"/>
                <w:color w:val="auto"/>
                <w:szCs w:val="21"/>
              </w:rPr>
              <w:t>仪器设备</w:t>
            </w:r>
            <w:r>
              <w:rPr>
                <w:rFonts w:hint="eastAsia" w:ascii="宋体" w:hAnsi="宋体" w:cs="仿宋"/>
                <w:color w:val="auto"/>
                <w:szCs w:val="21"/>
                <w:lang w:eastAsia="zh-CN"/>
              </w:rPr>
              <w:t>（</w:t>
            </w:r>
            <w:r>
              <w:rPr>
                <w:rFonts w:hint="eastAsia" w:ascii="宋体" w:hAnsi="宋体" w:cs="仿宋"/>
                <w:color w:val="auto"/>
                <w:szCs w:val="21"/>
                <w:lang w:val="en-US" w:eastAsia="zh-CN"/>
              </w:rPr>
              <w:t>10分</w:t>
            </w:r>
            <w:r>
              <w:rPr>
                <w:rFonts w:hint="eastAsia" w:ascii="宋体" w:hAnsi="宋体" w:cs="仿宋"/>
                <w:color w:val="auto"/>
                <w:szCs w:val="21"/>
                <w:lang w:eastAsia="zh-CN"/>
              </w:rPr>
              <w:t>）</w:t>
            </w:r>
          </w:p>
        </w:tc>
        <w:tc>
          <w:tcPr>
            <w:tcW w:w="6255" w:type="dxa"/>
            <w:tcBorders>
              <w:top w:val="nil"/>
              <w:left w:val="nil"/>
              <w:bottom w:val="single" w:color="auto" w:sz="4" w:space="0"/>
              <w:right w:val="single" w:color="auto" w:sz="4" w:space="0"/>
            </w:tcBorders>
            <w:noWrap w:val="0"/>
            <w:vAlign w:val="center"/>
          </w:tcPr>
          <w:p>
            <w:pPr>
              <w:spacing w:line="276" w:lineRule="auto"/>
              <w:rPr>
                <w:rFonts w:hint="eastAsia" w:ascii="宋体" w:hAnsi="宋体" w:cs="仿宋"/>
                <w:color w:val="auto"/>
                <w:szCs w:val="21"/>
              </w:rPr>
            </w:pPr>
            <w:r>
              <w:rPr>
                <w:rFonts w:hint="eastAsia" w:ascii="宋体" w:hAnsi="宋体" w:cs="仿宋"/>
                <w:color w:val="auto"/>
                <w:szCs w:val="21"/>
              </w:rPr>
              <w:t>根据拟使用的设备情况进行评审；</w:t>
            </w:r>
          </w:p>
          <w:p>
            <w:pPr>
              <w:spacing w:line="276" w:lineRule="auto"/>
              <w:rPr>
                <w:rFonts w:hint="eastAsia" w:ascii="宋体" w:hAnsi="宋体" w:cs="仿宋"/>
                <w:color w:val="auto"/>
                <w:szCs w:val="21"/>
              </w:rPr>
            </w:pPr>
            <w:r>
              <w:rPr>
                <w:rFonts w:hint="eastAsia" w:ascii="宋体" w:hAnsi="宋体" w:cs="仿宋"/>
                <w:color w:val="auto"/>
                <w:szCs w:val="21"/>
              </w:rPr>
              <w:t>设备先进、性能高、种类丰富多样，得</w:t>
            </w:r>
            <w:r>
              <w:rPr>
                <w:rFonts w:hint="eastAsia" w:ascii="宋体" w:hAnsi="宋体" w:cs="仿宋"/>
                <w:color w:val="auto"/>
                <w:szCs w:val="21"/>
                <w:lang w:val="en-US" w:eastAsia="zh-CN"/>
              </w:rPr>
              <w:t>10</w:t>
            </w:r>
            <w:r>
              <w:rPr>
                <w:rFonts w:hint="eastAsia" w:ascii="宋体" w:hAnsi="宋体" w:cs="仿宋"/>
                <w:color w:val="auto"/>
                <w:szCs w:val="21"/>
              </w:rPr>
              <w:t>分；</w:t>
            </w:r>
          </w:p>
          <w:p>
            <w:pPr>
              <w:spacing w:line="276" w:lineRule="auto"/>
              <w:rPr>
                <w:rFonts w:hint="eastAsia" w:ascii="宋体" w:hAnsi="宋体" w:cs="仿宋"/>
                <w:color w:val="auto"/>
                <w:szCs w:val="21"/>
              </w:rPr>
            </w:pPr>
            <w:r>
              <w:rPr>
                <w:rFonts w:hint="eastAsia" w:ascii="宋体" w:hAnsi="宋体" w:cs="仿宋"/>
                <w:color w:val="auto"/>
                <w:szCs w:val="21"/>
              </w:rPr>
              <w:t>设备先进性一般、性能一般、种类一般得</w:t>
            </w:r>
            <w:r>
              <w:rPr>
                <w:rFonts w:hint="eastAsia" w:ascii="宋体" w:hAnsi="宋体" w:cs="仿宋"/>
                <w:color w:val="auto"/>
                <w:szCs w:val="21"/>
                <w:lang w:val="en-US" w:eastAsia="zh-CN"/>
              </w:rPr>
              <w:t>6</w:t>
            </w:r>
            <w:r>
              <w:rPr>
                <w:rFonts w:hint="eastAsia" w:ascii="宋体" w:hAnsi="宋体" w:cs="仿宋"/>
                <w:color w:val="auto"/>
                <w:szCs w:val="21"/>
              </w:rPr>
              <w:t>分；</w:t>
            </w:r>
          </w:p>
          <w:p>
            <w:pPr>
              <w:spacing w:line="276" w:lineRule="auto"/>
              <w:rPr>
                <w:rFonts w:hint="eastAsia" w:ascii="宋体" w:hAnsi="宋体" w:cs="仿宋"/>
                <w:color w:val="auto"/>
                <w:szCs w:val="21"/>
              </w:rPr>
            </w:pPr>
            <w:r>
              <w:rPr>
                <w:rFonts w:hint="eastAsia" w:ascii="宋体" w:hAnsi="宋体" w:cs="仿宋"/>
                <w:color w:val="auto"/>
                <w:szCs w:val="21"/>
              </w:rPr>
              <w:t>设备落后、性能差、种类少得2分；</w:t>
            </w:r>
          </w:p>
          <w:p>
            <w:pPr>
              <w:spacing w:line="276" w:lineRule="auto"/>
              <w:rPr>
                <w:rFonts w:hint="eastAsia" w:ascii="宋体" w:hAnsi="宋体" w:cs="仿宋"/>
                <w:color w:val="auto"/>
                <w:szCs w:val="21"/>
                <w:lang w:val="en-US" w:eastAsia="zh-CN"/>
              </w:rPr>
            </w:pPr>
            <w:r>
              <w:rPr>
                <w:rFonts w:hint="eastAsia" w:ascii="宋体" w:hAnsi="宋体" w:cs="仿宋"/>
                <w:color w:val="auto"/>
                <w:szCs w:val="21"/>
              </w:rPr>
              <w:t>未提供不得分。</w:t>
            </w:r>
          </w:p>
        </w:tc>
      </w:tr>
    </w:tbl>
    <w:p>
      <w:pPr>
        <w:pStyle w:val="16"/>
        <w:rPr>
          <w:rFonts w:hint="eastAsia" w:eastAsiaTheme="minorEastAsia"/>
          <w:lang w:val="en-US" w:eastAsia="zh-CN"/>
        </w:rPr>
      </w:pPr>
    </w:p>
    <w:p>
      <w:pPr>
        <w:pStyle w:val="16"/>
        <w:rPr>
          <w:rFonts w:hint="eastAsia" w:ascii="宋体" w:hAnsi="宋体"/>
          <w:b/>
          <w:color w:val="auto"/>
          <w:kern w:val="0"/>
          <w:szCs w:val="21"/>
        </w:rPr>
      </w:pPr>
    </w:p>
    <w:p>
      <w:pPr>
        <w:pStyle w:val="18"/>
        <w:jc w:val="center"/>
        <w:rPr>
          <w:rFonts w:hint="default" w:ascii="宋体" w:hAnsi="宋体" w:eastAsia="宋体" w:cs="仿宋"/>
          <w:color w:val="auto"/>
          <w:kern w:val="2"/>
          <w:sz w:val="21"/>
          <w:szCs w:val="21"/>
          <w:lang w:val="en-US" w:eastAsia="zh-CN" w:bidi="ar-SA"/>
        </w:rPr>
      </w:pPr>
    </w:p>
    <w:p>
      <w:pPr>
        <w:pStyle w:val="18"/>
        <w:jc w:val="center"/>
        <w:rPr>
          <w:rFonts w:hint="default" w:ascii="宋体" w:hAnsi="宋体" w:eastAsia="宋体" w:cs="仿宋"/>
          <w:color w:val="auto"/>
          <w:kern w:val="2"/>
          <w:sz w:val="21"/>
          <w:szCs w:val="21"/>
          <w:lang w:val="en-US" w:eastAsia="zh-CN" w:bidi="ar-SA"/>
        </w:rPr>
      </w:pPr>
    </w:p>
    <w:p>
      <w:pPr>
        <w:pStyle w:val="4"/>
        <w:numPr>
          <w:ilvl w:val="0"/>
          <w:numId w:val="0"/>
        </w:numPr>
        <w:jc w:val="center"/>
        <w:rPr>
          <w:rFonts w:hint="eastAsia"/>
          <w:lang w:val="en-US" w:eastAsia="zh-CN"/>
        </w:rPr>
      </w:pPr>
    </w:p>
    <w:p>
      <w:pPr>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4"/>
        <w:numPr>
          <w:ilvl w:val="0"/>
          <w:numId w:val="5"/>
        </w:numPr>
        <w:jc w:val="center"/>
        <w:rPr>
          <w:rFonts w:hint="eastAsia"/>
          <w:lang w:val="en-US" w:eastAsia="zh-CN"/>
        </w:rPr>
      </w:pPr>
      <w:r>
        <w:rPr>
          <w:rFonts w:hint="eastAsia"/>
          <w:lang w:val="en-US" w:eastAsia="zh-CN"/>
        </w:rPr>
        <w:t xml:space="preserve"> 采购需求</w:t>
      </w:r>
    </w:p>
    <w:p>
      <w:pPr>
        <w:pStyle w:val="44"/>
        <w:numPr>
          <w:ilvl w:val="-1"/>
          <w:numId w:val="0"/>
        </w:numPr>
        <w:spacing w:line="360" w:lineRule="auto"/>
        <w:ind w:left="425" w:firstLine="0" w:firstLineChars="0"/>
        <w:rPr>
          <w:rFonts w:hint="eastAsia" w:ascii="宋体" w:hAnsi="宋体" w:cs="宋体"/>
          <w:b/>
          <w:bCs/>
          <w:sz w:val="24"/>
        </w:rPr>
      </w:pPr>
      <w:bookmarkStart w:id="17" w:name="_Toc19863_WPSOffice_Level1"/>
      <w:r>
        <w:rPr>
          <w:rFonts w:hint="eastAsia" w:ascii="宋体" w:hAnsi="宋体" w:cs="宋体"/>
          <w:b/>
          <w:bCs/>
          <w:sz w:val="24"/>
          <w:lang w:val="en-US" w:eastAsia="zh-CN"/>
        </w:rPr>
        <w:t>一、项目介绍</w:t>
      </w:r>
    </w:p>
    <w:p>
      <w:pPr>
        <w:pStyle w:val="15"/>
        <w:spacing w:line="369" w:lineRule="auto"/>
        <w:ind w:firstLine="476" w:firstLineChars="200"/>
        <w:rPr>
          <w:rFonts w:hint="eastAsia"/>
        </w:rPr>
      </w:pPr>
      <w:r>
        <w:rPr>
          <w:rFonts w:hint="eastAsia"/>
          <w:spacing w:val="-1"/>
          <w:sz w:val="24"/>
          <w:szCs w:val="24"/>
          <w:lang w:val="en-US" w:eastAsia="zh-CN"/>
        </w:rPr>
        <w:t>北京按摩医院职工体检，</w:t>
      </w:r>
      <w:r>
        <w:rPr>
          <w:rFonts w:hint="eastAsia"/>
          <w:spacing w:val="-1"/>
          <w:sz w:val="24"/>
          <w:szCs w:val="24"/>
          <w:lang w:val="zh-CN" w:eastAsia="zh-CN"/>
        </w:rPr>
        <w:t>约有100余名视障职工、60余名退休老干部。</w:t>
      </w:r>
      <w:r>
        <w:rPr>
          <w:rFonts w:hint="eastAsia"/>
          <w:spacing w:val="-1"/>
          <w:sz w:val="24"/>
          <w:szCs w:val="24"/>
          <w:lang w:val="en-US" w:eastAsia="zh-CN"/>
        </w:rPr>
        <w:t>6类体检人员套餐合计金额为本项目最高限价，根据实际体检类别和人数进行结算。</w:t>
      </w:r>
    </w:p>
    <w:p>
      <w:pPr>
        <w:numPr>
          <w:ilvl w:val="0"/>
          <w:numId w:val="4"/>
        </w:numPr>
        <w:spacing w:line="360" w:lineRule="auto"/>
        <w:ind w:left="720" w:leftChars="0" w:hanging="720" w:firstLineChars="0"/>
        <w:jc w:val="left"/>
        <w:rPr>
          <w:rFonts w:hint="eastAsia" w:ascii="宋体" w:hAnsi="宋体" w:eastAsia="宋体" w:cs="宋体"/>
          <w:b w:val="0"/>
          <w:bCs w:val="0"/>
          <w:spacing w:val="-1"/>
          <w:kern w:val="0"/>
          <w:sz w:val="24"/>
          <w:szCs w:val="24"/>
          <w:highlight w:val="none"/>
          <w:lang w:val="zh-CN" w:eastAsia="zh-CN" w:bidi="zh-CN"/>
        </w:rPr>
      </w:pPr>
      <w:r>
        <w:rPr>
          <w:rFonts w:hint="eastAsia" w:ascii="宋体" w:hAnsi="宋体" w:cs="宋体"/>
          <w:b/>
          <w:bCs/>
          <w:sz w:val="24"/>
        </w:rPr>
        <w:t>服务内容和要求</w:t>
      </w:r>
    </w:p>
    <w:p>
      <w:pPr>
        <w:tabs>
          <w:tab w:val="left" w:pos="4276"/>
          <w:tab w:val="left" w:pos="8522"/>
        </w:tabs>
        <w:spacing w:line="360" w:lineRule="auto"/>
        <w:ind w:firstLine="476" w:firstLineChars="200"/>
        <w:jc w:val="left"/>
        <w:rPr>
          <w:rFonts w:hint="eastAsia" w:ascii="宋体" w:hAnsi="宋体" w:eastAsia="宋体" w:cs="宋体"/>
          <w:b w:val="0"/>
          <w:bCs w:val="0"/>
          <w:spacing w:val="-1"/>
          <w:kern w:val="0"/>
          <w:sz w:val="24"/>
          <w:szCs w:val="24"/>
          <w:highlight w:val="none"/>
          <w:lang w:val="zh-CN" w:eastAsia="zh-CN" w:bidi="zh-CN"/>
        </w:rPr>
      </w:pPr>
      <w:r>
        <w:rPr>
          <w:rFonts w:hint="eastAsia" w:ascii="宋体" w:hAnsi="宋体" w:eastAsia="宋体" w:cs="宋体"/>
          <w:b w:val="0"/>
          <w:bCs w:val="0"/>
          <w:spacing w:val="-1"/>
          <w:kern w:val="0"/>
          <w:sz w:val="24"/>
          <w:szCs w:val="24"/>
          <w:highlight w:val="none"/>
          <w:lang w:val="zh-CN" w:eastAsia="zh-CN" w:bidi="zh-CN"/>
        </w:rPr>
        <w:t>★</w:t>
      </w:r>
      <w:r>
        <w:rPr>
          <w:rFonts w:hint="eastAsia" w:ascii="宋体" w:hAnsi="宋体" w:eastAsia="宋体" w:cs="宋体"/>
          <w:b w:val="0"/>
          <w:bCs w:val="0"/>
          <w:spacing w:val="-1"/>
          <w:kern w:val="0"/>
          <w:sz w:val="24"/>
          <w:szCs w:val="24"/>
          <w:highlight w:val="none"/>
          <w:lang w:val="en-US" w:eastAsia="zh-CN" w:bidi="zh-CN"/>
        </w:rPr>
        <w:t>1</w:t>
      </w:r>
      <w:r>
        <w:rPr>
          <w:rFonts w:hint="eastAsia" w:ascii="宋体" w:hAnsi="宋体" w:eastAsia="宋体" w:cs="宋体"/>
          <w:b w:val="0"/>
          <w:bCs w:val="0"/>
          <w:spacing w:val="-1"/>
          <w:kern w:val="0"/>
          <w:sz w:val="24"/>
          <w:szCs w:val="24"/>
          <w:highlight w:val="none"/>
          <w:lang w:val="zh-CN" w:eastAsia="zh-CN" w:bidi="zh-CN"/>
        </w:rPr>
        <w:t>.</w:t>
      </w:r>
      <w:r>
        <w:rPr>
          <w:rFonts w:hint="eastAsia" w:ascii="宋体" w:hAnsi="宋体" w:eastAsia="宋体" w:cs="宋体"/>
          <w:b w:val="0"/>
          <w:bCs w:val="0"/>
          <w:spacing w:val="-1"/>
          <w:kern w:val="0"/>
          <w:sz w:val="24"/>
          <w:szCs w:val="24"/>
          <w:highlight w:val="none"/>
          <w:lang w:val="en-US" w:eastAsia="zh-CN" w:bidi="zh-CN"/>
        </w:rPr>
        <w:t>可</w:t>
      </w:r>
      <w:r>
        <w:rPr>
          <w:rFonts w:hint="eastAsia" w:ascii="宋体" w:hAnsi="宋体" w:eastAsia="宋体" w:cs="宋体"/>
          <w:b w:val="0"/>
          <w:bCs w:val="0"/>
          <w:spacing w:val="-1"/>
          <w:kern w:val="0"/>
          <w:sz w:val="24"/>
          <w:szCs w:val="24"/>
          <w:highlight w:val="none"/>
          <w:lang w:val="zh-CN" w:eastAsia="zh-CN" w:bidi="zh-CN"/>
        </w:rPr>
        <w:t>提供职工团检和散检等方式，团检时间提供专场体检服务，</w:t>
      </w:r>
      <w:r>
        <w:rPr>
          <w:rFonts w:hint="eastAsia" w:ascii="宋体" w:hAnsi="宋体" w:eastAsia="宋体" w:cs="宋体"/>
          <w:b w:val="0"/>
          <w:bCs w:val="0"/>
          <w:spacing w:val="-1"/>
          <w:kern w:val="0"/>
          <w:sz w:val="24"/>
          <w:szCs w:val="24"/>
          <w:highlight w:val="none"/>
          <w:lang w:val="en-US" w:eastAsia="zh-CN" w:bidi="zh-CN"/>
        </w:rPr>
        <w:t>≥</w:t>
      </w:r>
      <w:r>
        <w:rPr>
          <w:rFonts w:hint="eastAsia" w:ascii="宋体" w:hAnsi="宋体" w:eastAsia="宋体" w:cs="宋体"/>
          <w:b w:val="0"/>
          <w:bCs w:val="0"/>
          <w:spacing w:val="-1"/>
          <w:kern w:val="0"/>
          <w:sz w:val="24"/>
          <w:szCs w:val="24"/>
          <w:highlight w:val="none"/>
          <w:lang w:val="zh-CN" w:eastAsia="zh-CN" w:bidi="zh-CN"/>
        </w:rPr>
        <w:t>1</w:t>
      </w:r>
      <w:r>
        <w:rPr>
          <w:rFonts w:hint="eastAsia" w:ascii="宋体" w:hAnsi="宋体" w:eastAsia="宋体" w:cs="宋体"/>
          <w:b w:val="0"/>
          <w:bCs w:val="0"/>
          <w:spacing w:val="-1"/>
          <w:kern w:val="0"/>
          <w:sz w:val="24"/>
          <w:szCs w:val="24"/>
          <w:highlight w:val="none"/>
          <w:lang w:val="en-US" w:eastAsia="zh-CN" w:bidi="zh-CN"/>
        </w:rPr>
        <w:t>上午半天</w:t>
      </w:r>
      <w:r>
        <w:rPr>
          <w:rFonts w:hint="eastAsia" w:ascii="宋体" w:hAnsi="宋体" w:eastAsia="宋体" w:cs="宋体"/>
          <w:b w:val="0"/>
          <w:bCs w:val="0"/>
          <w:spacing w:val="-1"/>
          <w:kern w:val="0"/>
          <w:sz w:val="24"/>
          <w:szCs w:val="24"/>
          <w:highlight w:val="none"/>
          <w:lang w:val="zh-CN" w:eastAsia="zh-CN" w:bidi="zh-CN"/>
        </w:rPr>
        <w:t>专场服务（周六、周日均可），无外单位人员参与专场体检，专场体检日</w:t>
      </w:r>
      <w:r>
        <w:rPr>
          <w:rFonts w:hint="eastAsia" w:ascii="宋体" w:hAnsi="宋体" w:eastAsia="宋体" w:cs="宋体"/>
          <w:b w:val="0"/>
          <w:bCs w:val="0"/>
          <w:spacing w:val="-1"/>
          <w:kern w:val="0"/>
          <w:sz w:val="24"/>
          <w:szCs w:val="24"/>
          <w:highlight w:val="none"/>
          <w:lang w:val="en-US" w:eastAsia="zh-CN" w:bidi="zh-CN"/>
        </w:rPr>
        <w:t>需</w:t>
      </w:r>
      <w:r>
        <w:rPr>
          <w:rFonts w:hint="eastAsia" w:ascii="宋体" w:hAnsi="宋体" w:eastAsia="宋体" w:cs="宋体"/>
          <w:b w:val="0"/>
          <w:bCs w:val="0"/>
          <w:spacing w:val="-1"/>
          <w:kern w:val="0"/>
          <w:sz w:val="24"/>
          <w:szCs w:val="24"/>
          <w:highlight w:val="none"/>
          <w:lang w:val="zh-CN" w:eastAsia="zh-CN" w:bidi="zh-CN"/>
        </w:rPr>
        <w:t>安排专车</w:t>
      </w:r>
      <w:r>
        <w:rPr>
          <w:rFonts w:hint="eastAsia" w:ascii="宋体" w:hAnsi="宋体" w:eastAsia="宋体" w:cs="宋体"/>
          <w:b w:val="0"/>
          <w:bCs w:val="0"/>
          <w:spacing w:val="-1"/>
          <w:kern w:val="0"/>
          <w:sz w:val="24"/>
          <w:szCs w:val="24"/>
          <w:highlight w:val="none"/>
          <w:lang w:val="en-US" w:eastAsia="zh-CN" w:bidi="zh-CN"/>
        </w:rPr>
        <w:t>到指定地点（四环内）</w:t>
      </w:r>
      <w:r>
        <w:rPr>
          <w:rFonts w:hint="eastAsia" w:ascii="宋体" w:hAnsi="宋体" w:eastAsia="宋体" w:cs="宋体"/>
          <w:b w:val="0"/>
          <w:bCs w:val="0"/>
          <w:spacing w:val="-1"/>
          <w:kern w:val="0"/>
          <w:sz w:val="24"/>
          <w:szCs w:val="24"/>
          <w:highlight w:val="none"/>
          <w:lang w:val="zh-CN" w:eastAsia="zh-CN" w:bidi="zh-CN"/>
        </w:rPr>
        <w:t>接送（</w:t>
      </w:r>
      <w:r>
        <w:rPr>
          <w:rFonts w:hint="eastAsia" w:ascii="宋体" w:hAnsi="宋体" w:eastAsia="宋体" w:cs="宋体"/>
          <w:b w:val="0"/>
          <w:bCs w:val="0"/>
          <w:spacing w:val="-1"/>
          <w:kern w:val="0"/>
          <w:sz w:val="24"/>
          <w:szCs w:val="24"/>
          <w:highlight w:val="none"/>
          <w:lang w:val="en-US" w:eastAsia="zh-CN" w:bidi="zh-CN"/>
        </w:rPr>
        <w:t>约60</w:t>
      </w:r>
      <w:r>
        <w:rPr>
          <w:rFonts w:hint="eastAsia" w:ascii="宋体" w:hAnsi="宋体" w:eastAsia="宋体" w:cs="宋体"/>
          <w:b w:val="0"/>
          <w:bCs w:val="0"/>
          <w:spacing w:val="-1"/>
          <w:kern w:val="0"/>
          <w:sz w:val="24"/>
          <w:szCs w:val="24"/>
          <w:highlight w:val="none"/>
          <w:lang w:val="zh-CN" w:bidi="zh-CN"/>
        </w:rPr>
        <w:t>余名退休老干部</w:t>
      </w:r>
      <w:r>
        <w:rPr>
          <w:rFonts w:hint="eastAsia" w:ascii="宋体" w:hAnsi="宋体" w:eastAsia="宋体" w:cs="宋体"/>
          <w:b w:val="0"/>
          <w:bCs w:val="0"/>
          <w:spacing w:val="-1"/>
          <w:kern w:val="0"/>
          <w:sz w:val="24"/>
          <w:szCs w:val="24"/>
          <w:highlight w:val="none"/>
          <w:lang w:val="zh-CN" w:eastAsia="zh-CN" w:bidi="zh-CN"/>
        </w:rPr>
        <w:t>）。</w:t>
      </w:r>
    </w:p>
    <w:p>
      <w:pPr>
        <w:numPr>
          <w:ilvl w:val="0"/>
          <w:numId w:val="0"/>
        </w:numPr>
        <w:tabs>
          <w:tab w:val="left" w:pos="4276"/>
          <w:tab w:val="left" w:pos="8522"/>
        </w:tabs>
        <w:spacing w:line="360" w:lineRule="auto"/>
        <w:ind w:firstLine="476" w:firstLineChars="200"/>
        <w:jc w:val="left"/>
        <w:rPr>
          <w:rFonts w:hint="eastAsia" w:ascii="宋体" w:hAnsi="宋体" w:eastAsia="宋体" w:cs="宋体"/>
          <w:b w:val="0"/>
          <w:bCs w:val="0"/>
          <w:spacing w:val="-1"/>
          <w:kern w:val="0"/>
          <w:sz w:val="24"/>
          <w:szCs w:val="24"/>
          <w:highlight w:val="none"/>
          <w:lang w:val="en-US" w:eastAsia="zh-CN" w:bidi="zh-CN"/>
        </w:rPr>
      </w:pPr>
      <w:r>
        <w:rPr>
          <w:rFonts w:hint="eastAsia" w:ascii="宋体" w:hAnsi="宋体" w:eastAsia="宋体" w:cs="宋体"/>
          <w:b w:val="0"/>
          <w:bCs w:val="0"/>
          <w:spacing w:val="-1"/>
          <w:kern w:val="0"/>
          <w:sz w:val="24"/>
          <w:szCs w:val="24"/>
          <w:highlight w:val="none"/>
          <w:lang w:val="zh-CN" w:eastAsia="zh-CN" w:bidi="zh-CN"/>
        </w:rPr>
        <w:t>★</w:t>
      </w:r>
      <w:r>
        <w:rPr>
          <w:rFonts w:hint="eastAsia" w:ascii="宋体" w:hAnsi="宋体" w:eastAsia="宋体" w:cs="宋体"/>
          <w:b w:val="0"/>
          <w:bCs w:val="0"/>
          <w:spacing w:val="-1"/>
          <w:kern w:val="0"/>
          <w:sz w:val="24"/>
          <w:szCs w:val="24"/>
          <w:highlight w:val="none"/>
          <w:lang w:val="en-US" w:eastAsia="zh-CN" w:bidi="zh-CN"/>
        </w:rPr>
        <w:t>2.需具有合格的《医疗机构执业许可证》；</w:t>
      </w:r>
      <w:bookmarkEnd w:id="17"/>
    </w:p>
    <w:p>
      <w:pPr>
        <w:numPr>
          <w:ilvl w:val="0"/>
          <w:numId w:val="0"/>
        </w:numPr>
        <w:tabs>
          <w:tab w:val="left" w:pos="4276"/>
          <w:tab w:val="left" w:pos="8522"/>
        </w:tabs>
        <w:spacing w:line="360" w:lineRule="auto"/>
        <w:ind w:firstLine="420" w:firstLineChars="200"/>
        <w:jc w:val="left"/>
        <w:rPr>
          <w:rFonts w:hint="eastAsia" w:ascii="宋体" w:hAnsi="宋体" w:eastAsia="宋体" w:cs="宋体"/>
          <w:b w:val="0"/>
          <w:bCs w:val="0"/>
          <w:spacing w:val="-1"/>
          <w:kern w:val="0"/>
          <w:sz w:val="24"/>
          <w:szCs w:val="24"/>
          <w:highlight w:val="none"/>
          <w:lang w:val="zh-CN" w:eastAsia="zh-CN" w:bidi="zh-CN"/>
        </w:rPr>
      </w:pPr>
      <w:r>
        <w:rPr>
          <w:rFonts w:hint="eastAsia" w:ascii="宋体" w:hAnsi="宋体" w:cs="仿宋"/>
          <w:color w:val="auto"/>
          <w:szCs w:val="21"/>
        </w:rPr>
        <w:t>#</w:t>
      </w:r>
      <w:r>
        <w:rPr>
          <w:rFonts w:hint="eastAsia" w:ascii="宋体" w:hAnsi="宋体" w:eastAsia="宋体" w:cs="宋体"/>
          <w:b w:val="0"/>
          <w:bCs w:val="0"/>
          <w:spacing w:val="-1"/>
          <w:kern w:val="0"/>
          <w:sz w:val="24"/>
          <w:szCs w:val="24"/>
          <w:highlight w:val="none"/>
          <w:lang w:val="en-US" w:eastAsia="zh-CN" w:bidi="zh-CN"/>
        </w:rPr>
        <w:t>3.</w:t>
      </w:r>
      <w:r>
        <w:rPr>
          <w:rFonts w:hint="eastAsia" w:ascii="宋体" w:hAnsi="宋体" w:eastAsia="宋体" w:cs="宋体"/>
          <w:b w:val="0"/>
          <w:bCs w:val="0"/>
          <w:spacing w:val="-1"/>
          <w:kern w:val="0"/>
          <w:sz w:val="24"/>
          <w:szCs w:val="24"/>
          <w:highlight w:val="none"/>
          <w:lang w:val="zh-CN" w:eastAsia="zh-CN" w:bidi="zh-CN"/>
        </w:rPr>
        <w:t>医务人员</w:t>
      </w:r>
      <w:r>
        <w:rPr>
          <w:rFonts w:hint="eastAsia" w:ascii="宋体" w:hAnsi="宋体" w:eastAsia="宋体" w:cs="宋体"/>
          <w:b w:val="0"/>
          <w:bCs w:val="0"/>
          <w:spacing w:val="-1"/>
          <w:kern w:val="0"/>
          <w:sz w:val="24"/>
          <w:szCs w:val="24"/>
          <w:highlight w:val="none"/>
          <w:lang w:val="en-US" w:eastAsia="zh-CN" w:bidi="zh-CN"/>
        </w:rPr>
        <w:t>需</w:t>
      </w:r>
      <w:r>
        <w:rPr>
          <w:rFonts w:hint="eastAsia" w:ascii="宋体" w:hAnsi="宋体" w:eastAsia="宋体" w:cs="宋体"/>
          <w:b w:val="0"/>
          <w:bCs w:val="0"/>
          <w:spacing w:val="-1"/>
          <w:kern w:val="0"/>
          <w:sz w:val="24"/>
          <w:szCs w:val="24"/>
          <w:highlight w:val="none"/>
          <w:lang w:val="zh-CN" w:eastAsia="zh-CN" w:bidi="zh-CN"/>
        </w:rPr>
        <w:t>具备国家规定的相关资格及执业资质</w:t>
      </w:r>
      <w:r>
        <w:rPr>
          <w:rFonts w:hint="eastAsia" w:ascii="宋体" w:hAnsi="宋体" w:eastAsia="宋体" w:cs="宋体"/>
          <w:b w:val="0"/>
          <w:bCs w:val="0"/>
          <w:spacing w:val="-1"/>
          <w:kern w:val="0"/>
          <w:sz w:val="24"/>
          <w:szCs w:val="24"/>
          <w:highlight w:val="none"/>
          <w:lang w:val="en-US" w:eastAsia="zh-CN" w:bidi="zh-CN"/>
        </w:rPr>
        <w:t>（需提供承诺）</w:t>
      </w:r>
      <w:r>
        <w:rPr>
          <w:rFonts w:hint="eastAsia" w:ascii="宋体" w:hAnsi="宋体" w:eastAsia="宋体" w:cs="宋体"/>
          <w:b w:val="0"/>
          <w:bCs w:val="0"/>
          <w:spacing w:val="-1"/>
          <w:kern w:val="0"/>
          <w:sz w:val="24"/>
          <w:szCs w:val="24"/>
          <w:highlight w:val="none"/>
          <w:lang w:val="zh-CN" w:eastAsia="zh-CN" w:bidi="zh-CN"/>
        </w:rPr>
        <w:t>；</w:t>
      </w:r>
    </w:p>
    <w:p>
      <w:pPr>
        <w:tabs>
          <w:tab w:val="left" w:pos="4276"/>
          <w:tab w:val="left" w:pos="8522"/>
        </w:tabs>
        <w:spacing w:line="360" w:lineRule="auto"/>
        <w:ind w:firstLine="420" w:firstLineChars="200"/>
        <w:jc w:val="left"/>
        <w:rPr>
          <w:rFonts w:hint="eastAsia" w:ascii="宋体" w:hAnsi="宋体" w:eastAsia="宋体" w:cs="宋体"/>
          <w:b w:val="0"/>
          <w:bCs w:val="0"/>
          <w:spacing w:val="-1"/>
          <w:kern w:val="0"/>
          <w:sz w:val="24"/>
          <w:szCs w:val="24"/>
          <w:highlight w:val="none"/>
          <w:lang w:val="zh-CN" w:eastAsia="zh-CN" w:bidi="zh-CN"/>
        </w:rPr>
      </w:pPr>
      <w:r>
        <w:rPr>
          <w:rFonts w:hint="eastAsia" w:ascii="宋体" w:hAnsi="宋体" w:cs="仿宋"/>
          <w:color w:val="auto"/>
          <w:szCs w:val="21"/>
        </w:rPr>
        <w:t>#</w:t>
      </w:r>
      <w:r>
        <w:rPr>
          <w:rFonts w:hint="eastAsia" w:ascii="宋体" w:hAnsi="宋体" w:eastAsia="宋体" w:cs="宋体"/>
          <w:b w:val="0"/>
          <w:bCs w:val="0"/>
          <w:spacing w:val="-1"/>
          <w:kern w:val="0"/>
          <w:sz w:val="24"/>
          <w:szCs w:val="24"/>
          <w:highlight w:val="none"/>
          <w:lang w:val="en-US" w:eastAsia="zh-CN" w:bidi="zh-CN"/>
        </w:rPr>
        <w:t>4.</w:t>
      </w:r>
      <w:r>
        <w:rPr>
          <w:rFonts w:hint="eastAsia" w:ascii="宋体" w:hAnsi="宋体" w:eastAsia="宋体" w:cs="宋体"/>
          <w:b w:val="0"/>
          <w:bCs w:val="0"/>
          <w:spacing w:val="-1"/>
          <w:kern w:val="0"/>
          <w:sz w:val="24"/>
          <w:szCs w:val="24"/>
          <w:highlight w:val="none"/>
          <w:lang w:val="zh-CN" w:eastAsia="zh-CN" w:bidi="zh-CN"/>
        </w:rPr>
        <w:t>体检设备设施符合国家规定的相关标准，具备体检所需的仪器、超声、放射等设备，</w:t>
      </w:r>
      <w:r>
        <w:rPr>
          <w:rFonts w:hint="eastAsia" w:ascii="宋体" w:hAnsi="宋体" w:eastAsia="宋体" w:cs="宋体"/>
          <w:b w:val="0"/>
          <w:bCs w:val="0"/>
          <w:spacing w:val="-1"/>
          <w:kern w:val="0"/>
          <w:sz w:val="24"/>
          <w:szCs w:val="24"/>
          <w:highlight w:val="none"/>
          <w:lang w:val="en-US" w:eastAsia="zh-CN" w:bidi="zh-CN"/>
        </w:rPr>
        <w:t>提供主要体检医疗设备的检测报告和照片。</w:t>
      </w:r>
    </w:p>
    <w:p>
      <w:pPr>
        <w:tabs>
          <w:tab w:val="left" w:pos="4276"/>
          <w:tab w:val="left" w:pos="8522"/>
        </w:tabs>
        <w:spacing w:line="360" w:lineRule="auto"/>
        <w:ind w:firstLine="476" w:firstLineChars="200"/>
        <w:jc w:val="left"/>
        <w:rPr>
          <w:rFonts w:hint="eastAsia" w:ascii="宋体" w:hAnsi="宋体" w:eastAsia="宋体" w:cs="宋体"/>
          <w:b w:val="0"/>
          <w:bCs w:val="0"/>
          <w:spacing w:val="-1"/>
          <w:kern w:val="0"/>
          <w:sz w:val="24"/>
          <w:szCs w:val="24"/>
          <w:highlight w:val="none"/>
          <w:lang w:val="zh-CN" w:eastAsia="zh-CN" w:bidi="zh-CN"/>
        </w:rPr>
      </w:pPr>
      <w:r>
        <w:rPr>
          <w:rFonts w:hint="eastAsia" w:ascii="宋体" w:hAnsi="宋体" w:eastAsia="宋体" w:cs="宋体"/>
          <w:b w:val="0"/>
          <w:bCs w:val="0"/>
          <w:spacing w:val="-1"/>
          <w:kern w:val="0"/>
          <w:sz w:val="24"/>
          <w:szCs w:val="24"/>
          <w:highlight w:val="none"/>
          <w:lang w:val="en-US" w:eastAsia="zh-CN" w:bidi="zh-CN"/>
        </w:rPr>
        <w:t>5</w:t>
      </w:r>
      <w:r>
        <w:rPr>
          <w:rFonts w:hint="eastAsia" w:ascii="宋体" w:hAnsi="宋体" w:eastAsia="宋体" w:cs="宋体"/>
          <w:b w:val="0"/>
          <w:bCs w:val="0"/>
          <w:spacing w:val="-1"/>
          <w:kern w:val="0"/>
          <w:sz w:val="24"/>
          <w:szCs w:val="24"/>
          <w:highlight w:val="none"/>
          <w:lang w:val="zh-CN" w:eastAsia="zh-CN" w:bidi="zh-CN"/>
        </w:rPr>
        <w:t>.北京</w:t>
      </w:r>
      <w:r>
        <w:rPr>
          <w:rFonts w:hint="eastAsia" w:ascii="宋体" w:hAnsi="宋体" w:eastAsia="宋体" w:cs="宋体"/>
          <w:b w:val="0"/>
          <w:bCs w:val="0"/>
          <w:spacing w:val="-1"/>
          <w:kern w:val="0"/>
          <w:sz w:val="24"/>
          <w:szCs w:val="24"/>
          <w:highlight w:val="none"/>
          <w:lang w:val="en-US" w:eastAsia="zh-CN" w:bidi="zh-CN"/>
        </w:rPr>
        <w:t>市</w:t>
      </w:r>
      <w:r>
        <w:rPr>
          <w:rFonts w:hint="eastAsia" w:ascii="宋体" w:hAnsi="宋体" w:eastAsia="宋体" w:cs="宋体"/>
          <w:b w:val="0"/>
          <w:bCs w:val="0"/>
          <w:spacing w:val="-1"/>
          <w:kern w:val="0"/>
          <w:sz w:val="24"/>
          <w:szCs w:val="24"/>
          <w:highlight w:val="none"/>
          <w:lang w:val="zh-CN" w:eastAsia="zh-CN" w:bidi="zh-CN"/>
        </w:rPr>
        <w:t>区域内公司所有</w:t>
      </w:r>
      <w:r>
        <w:rPr>
          <w:rFonts w:hint="eastAsia" w:ascii="宋体" w:hAnsi="宋体" w:eastAsia="宋体" w:cs="宋体"/>
          <w:b w:val="0"/>
          <w:bCs w:val="0"/>
          <w:spacing w:val="-1"/>
          <w:kern w:val="0"/>
          <w:sz w:val="24"/>
          <w:szCs w:val="24"/>
          <w:highlight w:val="none"/>
          <w:lang w:val="en-US" w:eastAsia="zh-CN" w:bidi="zh-CN"/>
        </w:rPr>
        <w:t>连锁</w:t>
      </w:r>
      <w:r>
        <w:rPr>
          <w:rFonts w:hint="eastAsia" w:ascii="宋体" w:hAnsi="宋体" w:eastAsia="宋体" w:cs="宋体"/>
          <w:b w:val="0"/>
          <w:bCs w:val="0"/>
          <w:spacing w:val="-1"/>
          <w:kern w:val="0"/>
          <w:sz w:val="24"/>
          <w:szCs w:val="24"/>
          <w:highlight w:val="none"/>
          <w:lang w:val="zh-CN" w:eastAsia="zh-CN" w:bidi="zh-CN"/>
        </w:rPr>
        <w:t>体检中心均可预约，交通便利，地址临近地铁站、公交站。</w:t>
      </w:r>
    </w:p>
    <w:p>
      <w:pPr>
        <w:tabs>
          <w:tab w:val="left" w:pos="4276"/>
          <w:tab w:val="left" w:pos="8522"/>
        </w:tabs>
        <w:spacing w:line="360" w:lineRule="auto"/>
        <w:ind w:firstLine="420" w:firstLineChars="200"/>
        <w:jc w:val="left"/>
        <w:rPr>
          <w:rFonts w:hint="eastAsia" w:ascii="宋体" w:hAnsi="宋体" w:eastAsia="宋体" w:cs="宋体"/>
          <w:b w:val="0"/>
          <w:bCs w:val="0"/>
          <w:spacing w:val="-1"/>
          <w:kern w:val="0"/>
          <w:sz w:val="24"/>
          <w:szCs w:val="24"/>
          <w:highlight w:val="none"/>
          <w:lang w:val="zh-CN" w:bidi="zh-CN"/>
        </w:rPr>
      </w:pPr>
      <w:r>
        <w:rPr>
          <w:rFonts w:hint="eastAsia" w:ascii="宋体" w:hAnsi="宋体" w:cs="仿宋"/>
          <w:color w:val="auto"/>
          <w:szCs w:val="21"/>
        </w:rPr>
        <w:t>#</w:t>
      </w:r>
      <w:r>
        <w:rPr>
          <w:rFonts w:hint="eastAsia" w:ascii="宋体" w:hAnsi="宋体" w:eastAsia="宋体" w:cs="宋体"/>
          <w:b w:val="0"/>
          <w:bCs w:val="0"/>
          <w:spacing w:val="-1"/>
          <w:kern w:val="0"/>
          <w:sz w:val="24"/>
          <w:szCs w:val="24"/>
          <w:highlight w:val="none"/>
          <w:lang w:val="en-US" w:bidi="zh-CN"/>
        </w:rPr>
        <w:t>6</w:t>
      </w:r>
      <w:r>
        <w:rPr>
          <w:rFonts w:hint="eastAsia" w:ascii="宋体" w:hAnsi="宋体" w:eastAsia="宋体" w:cs="宋体"/>
          <w:b w:val="0"/>
          <w:bCs w:val="0"/>
          <w:spacing w:val="-1"/>
          <w:kern w:val="0"/>
          <w:sz w:val="24"/>
          <w:szCs w:val="24"/>
          <w:highlight w:val="none"/>
          <w:lang w:val="zh-CN" w:bidi="zh-CN"/>
        </w:rPr>
        <w:t>.</w:t>
      </w:r>
      <w:r>
        <w:rPr>
          <w:rFonts w:hint="eastAsia" w:ascii="宋体" w:hAnsi="宋体" w:eastAsia="宋体" w:cs="宋体"/>
          <w:b w:val="0"/>
          <w:bCs w:val="0"/>
          <w:spacing w:val="-1"/>
          <w:kern w:val="0"/>
          <w:sz w:val="24"/>
          <w:szCs w:val="24"/>
          <w:highlight w:val="none"/>
          <w:lang w:val="en-US" w:bidi="zh-CN"/>
        </w:rPr>
        <w:t>医院</w:t>
      </w:r>
      <w:r>
        <w:rPr>
          <w:rFonts w:hint="eastAsia" w:ascii="宋体" w:hAnsi="宋体" w:eastAsia="宋体" w:cs="宋体"/>
          <w:b w:val="0"/>
          <w:bCs w:val="0"/>
          <w:spacing w:val="-1"/>
          <w:kern w:val="0"/>
          <w:sz w:val="24"/>
          <w:szCs w:val="24"/>
          <w:highlight w:val="none"/>
          <w:lang w:val="zh-CN" w:bidi="zh-CN"/>
        </w:rPr>
        <w:t>约有100余名视障职工、60余名退休老干部，</w:t>
      </w:r>
      <w:r>
        <w:rPr>
          <w:rFonts w:hint="eastAsia" w:ascii="宋体" w:hAnsi="宋体" w:eastAsia="宋体" w:cs="宋体"/>
          <w:b w:val="0"/>
          <w:bCs w:val="0"/>
          <w:spacing w:val="-1"/>
          <w:kern w:val="0"/>
          <w:sz w:val="24"/>
          <w:szCs w:val="24"/>
          <w:highlight w:val="none"/>
          <w:lang w:val="en-US" w:bidi="zh-CN"/>
        </w:rPr>
        <w:t>需有专职</w:t>
      </w:r>
      <w:r>
        <w:rPr>
          <w:rFonts w:hint="eastAsia" w:ascii="宋体" w:hAnsi="宋体" w:eastAsia="宋体" w:cs="宋体"/>
          <w:b w:val="0"/>
          <w:bCs w:val="0"/>
          <w:spacing w:val="-1"/>
          <w:kern w:val="0"/>
          <w:sz w:val="24"/>
          <w:szCs w:val="24"/>
          <w:highlight w:val="none"/>
          <w:lang w:val="zh-CN" w:bidi="zh-CN"/>
        </w:rPr>
        <w:t>导诊服务人员，</w:t>
      </w:r>
      <w:r>
        <w:rPr>
          <w:rFonts w:hint="eastAsia" w:ascii="宋体" w:hAnsi="宋体" w:eastAsia="宋体" w:cs="宋体"/>
          <w:b w:val="0"/>
          <w:bCs w:val="0"/>
          <w:spacing w:val="-1"/>
          <w:kern w:val="0"/>
          <w:sz w:val="24"/>
          <w:szCs w:val="24"/>
          <w:highlight w:val="none"/>
          <w:lang w:val="en-US" w:bidi="zh-CN"/>
        </w:rPr>
        <w:t>为</w:t>
      </w:r>
      <w:r>
        <w:rPr>
          <w:rFonts w:hint="eastAsia" w:ascii="宋体" w:hAnsi="宋体" w:eastAsia="宋体" w:cs="宋体"/>
          <w:b w:val="0"/>
          <w:bCs w:val="0"/>
          <w:spacing w:val="-1"/>
          <w:kern w:val="0"/>
          <w:sz w:val="24"/>
          <w:szCs w:val="24"/>
          <w:highlight w:val="none"/>
          <w:lang w:val="zh-CN" w:bidi="zh-CN"/>
        </w:rPr>
        <w:t>视障职工、</w:t>
      </w:r>
      <w:r>
        <w:rPr>
          <w:rFonts w:hint="eastAsia" w:ascii="宋体" w:hAnsi="宋体" w:eastAsia="宋体" w:cs="宋体"/>
          <w:b w:val="0"/>
          <w:bCs w:val="0"/>
          <w:spacing w:val="-1"/>
          <w:kern w:val="0"/>
          <w:sz w:val="24"/>
          <w:szCs w:val="24"/>
          <w:highlight w:val="none"/>
          <w:lang w:val="en-US" w:bidi="zh-CN"/>
        </w:rPr>
        <w:t>退休老干部提供专职</w:t>
      </w:r>
      <w:r>
        <w:rPr>
          <w:rFonts w:hint="eastAsia" w:ascii="宋体" w:hAnsi="宋体" w:eastAsia="宋体" w:cs="宋体"/>
          <w:b w:val="0"/>
          <w:bCs w:val="0"/>
          <w:spacing w:val="-1"/>
          <w:kern w:val="0"/>
          <w:sz w:val="24"/>
          <w:szCs w:val="24"/>
          <w:highlight w:val="none"/>
          <w:lang w:val="zh-CN" w:bidi="zh-CN"/>
        </w:rPr>
        <w:t>服务。</w:t>
      </w:r>
    </w:p>
    <w:p>
      <w:pPr>
        <w:tabs>
          <w:tab w:val="left" w:pos="4276"/>
          <w:tab w:val="left" w:pos="8522"/>
        </w:tabs>
        <w:spacing w:line="360" w:lineRule="auto"/>
        <w:ind w:firstLine="420" w:firstLineChars="200"/>
        <w:jc w:val="left"/>
        <w:rPr>
          <w:rFonts w:ascii="宋体" w:hAnsi="宋体" w:eastAsia="宋体" w:cs="宋体"/>
          <w:spacing w:val="-1"/>
          <w:kern w:val="0"/>
          <w:sz w:val="24"/>
          <w:szCs w:val="24"/>
          <w:lang w:val="zh-CN" w:bidi="zh-CN"/>
        </w:rPr>
      </w:pPr>
      <w:r>
        <w:rPr>
          <w:rFonts w:hint="eastAsia" w:ascii="宋体" w:hAnsi="宋体" w:cs="仿宋"/>
          <w:color w:val="auto"/>
          <w:szCs w:val="21"/>
        </w:rPr>
        <w:t>#</w:t>
      </w:r>
      <w:r>
        <w:rPr>
          <w:rFonts w:hint="eastAsia" w:ascii="宋体" w:hAnsi="宋体" w:cs="仿宋"/>
          <w:color w:val="auto"/>
          <w:szCs w:val="21"/>
          <w:lang w:val="en-US" w:eastAsia="zh-CN"/>
        </w:rPr>
        <w:t>7</w:t>
      </w:r>
      <w:r>
        <w:rPr>
          <w:rFonts w:hint="eastAsia" w:ascii="宋体" w:hAnsi="宋体" w:eastAsia="宋体" w:cs="宋体"/>
          <w:b w:val="0"/>
          <w:bCs w:val="0"/>
          <w:spacing w:val="-1"/>
          <w:kern w:val="0"/>
          <w:sz w:val="24"/>
          <w:szCs w:val="24"/>
          <w:highlight w:val="none"/>
          <w:lang w:val="zh-CN" w:bidi="zh-CN"/>
        </w:rPr>
        <w:t>.</w:t>
      </w:r>
      <w:r>
        <w:rPr>
          <w:rFonts w:hint="eastAsia" w:ascii="宋体" w:hAnsi="宋体" w:eastAsia="宋体" w:cs="宋体"/>
          <w:spacing w:val="-1"/>
          <w:kern w:val="0"/>
          <w:sz w:val="24"/>
          <w:szCs w:val="24"/>
          <w:lang w:bidi="zh-CN"/>
        </w:rPr>
        <w:t>可</w:t>
      </w:r>
      <w:r>
        <w:rPr>
          <w:rFonts w:hint="eastAsia" w:ascii="宋体" w:hAnsi="宋体" w:eastAsia="宋体" w:cs="宋体"/>
          <w:spacing w:val="-1"/>
          <w:kern w:val="0"/>
          <w:sz w:val="24"/>
          <w:szCs w:val="24"/>
          <w:lang w:val="zh-CN" w:bidi="zh-CN"/>
        </w:rPr>
        <w:t>提供电话或网络预约体检、邮寄体检报</w:t>
      </w:r>
      <w:r>
        <w:rPr>
          <w:rFonts w:hint="eastAsia" w:ascii="宋体" w:hAnsi="宋体" w:eastAsia="宋体" w:cs="宋体"/>
          <w:spacing w:val="-1"/>
          <w:kern w:val="0"/>
          <w:sz w:val="24"/>
          <w:szCs w:val="24"/>
          <w:highlight w:val="none"/>
          <w:lang w:val="zh-CN" w:bidi="zh-CN"/>
        </w:rPr>
        <w:t>告、解读体检报告，进行健康指导、就医</w:t>
      </w:r>
      <w:r>
        <w:rPr>
          <w:rFonts w:hint="eastAsia" w:ascii="宋体" w:hAnsi="宋体" w:eastAsia="宋体" w:cs="宋体"/>
          <w:spacing w:val="-1"/>
          <w:kern w:val="0"/>
          <w:sz w:val="24"/>
          <w:szCs w:val="24"/>
          <w:lang w:val="zh-CN" w:bidi="zh-CN"/>
        </w:rPr>
        <w:t>绿色通道等多种便利服务。</w:t>
      </w:r>
    </w:p>
    <w:p>
      <w:pPr>
        <w:tabs>
          <w:tab w:val="left" w:pos="4276"/>
          <w:tab w:val="left" w:pos="8522"/>
        </w:tabs>
        <w:spacing w:line="360" w:lineRule="auto"/>
        <w:ind w:firstLine="476" w:firstLineChars="200"/>
        <w:jc w:val="left"/>
        <w:rPr>
          <w:rFonts w:hint="eastAsia" w:ascii="宋体" w:hAnsi="宋体" w:eastAsia="宋体" w:cs="宋体"/>
          <w:b w:val="0"/>
          <w:bCs w:val="0"/>
          <w:spacing w:val="-1"/>
          <w:kern w:val="0"/>
          <w:sz w:val="24"/>
          <w:szCs w:val="24"/>
          <w:highlight w:val="none"/>
          <w:lang w:val="zh-CN" w:bidi="zh-CN"/>
        </w:rPr>
      </w:pPr>
      <w:r>
        <w:rPr>
          <w:rFonts w:hint="eastAsia" w:ascii="宋体" w:hAnsi="宋体" w:eastAsia="宋体" w:cs="宋体"/>
          <w:b w:val="0"/>
          <w:bCs w:val="0"/>
          <w:spacing w:val="-1"/>
          <w:kern w:val="0"/>
          <w:sz w:val="24"/>
          <w:szCs w:val="24"/>
          <w:lang w:val="en-US" w:bidi="zh-CN"/>
        </w:rPr>
        <w:t>8</w:t>
      </w:r>
      <w:r>
        <w:rPr>
          <w:rFonts w:hint="eastAsia" w:ascii="宋体" w:hAnsi="宋体" w:eastAsia="宋体" w:cs="宋体"/>
          <w:b w:val="0"/>
          <w:bCs w:val="0"/>
          <w:spacing w:val="-1"/>
          <w:kern w:val="0"/>
          <w:sz w:val="24"/>
          <w:szCs w:val="24"/>
          <w:lang w:val="zh-CN" w:bidi="zh-CN"/>
        </w:rPr>
        <w:t>.</w:t>
      </w:r>
      <w:r>
        <w:rPr>
          <w:rFonts w:hint="eastAsia" w:ascii="宋体" w:hAnsi="宋体" w:eastAsia="宋体" w:cs="宋体"/>
          <w:spacing w:val="-1"/>
          <w:kern w:val="0"/>
          <w:sz w:val="24"/>
          <w:szCs w:val="24"/>
          <w:highlight w:val="none"/>
          <w:lang w:val="zh-CN" w:bidi="zh-CN"/>
        </w:rPr>
        <w:t>提供单位总检报告，含各项指标数据分析。</w:t>
      </w:r>
    </w:p>
    <w:p>
      <w:pPr>
        <w:ind w:firstLine="238" w:firstLineChars="100"/>
        <w:rPr>
          <w:rFonts w:hint="eastAsia" w:ascii="宋体" w:hAnsi="宋体" w:eastAsia="宋体" w:cs="宋体"/>
          <w:spacing w:val="-1"/>
          <w:kern w:val="0"/>
          <w:sz w:val="24"/>
          <w:szCs w:val="24"/>
          <w:lang w:val="zh-CN" w:bidi="zh-CN"/>
        </w:rPr>
      </w:pPr>
      <w:r>
        <w:rPr>
          <w:rFonts w:hint="eastAsia" w:ascii="宋体" w:hAnsi="宋体" w:eastAsia="宋体" w:cs="宋体"/>
          <w:spacing w:val="-1"/>
          <w:kern w:val="0"/>
          <w:sz w:val="24"/>
          <w:szCs w:val="24"/>
          <w:lang w:val="zh-CN" w:bidi="zh-CN"/>
        </w:rPr>
        <w:t>★</w:t>
      </w:r>
      <w:r>
        <w:rPr>
          <w:rFonts w:hint="eastAsia" w:ascii="宋体" w:hAnsi="宋体" w:eastAsia="宋体" w:cs="宋体"/>
          <w:spacing w:val="-1"/>
          <w:kern w:val="0"/>
          <w:sz w:val="24"/>
          <w:szCs w:val="24"/>
          <w:lang w:val="en-US" w:bidi="zh-CN"/>
        </w:rPr>
        <w:t>9</w:t>
      </w:r>
      <w:r>
        <w:rPr>
          <w:rFonts w:hint="eastAsia" w:ascii="宋体" w:hAnsi="宋体" w:eastAsia="宋体" w:cs="宋体"/>
          <w:spacing w:val="-1"/>
          <w:kern w:val="0"/>
          <w:sz w:val="24"/>
          <w:szCs w:val="24"/>
          <w:lang w:val="zh-CN" w:bidi="zh-CN"/>
        </w:rPr>
        <w:t>.体检套餐基本项目及内容详见下表</w:t>
      </w:r>
    </w:p>
    <w:p>
      <w:pPr>
        <w:pStyle w:val="2"/>
        <w:rPr>
          <w:rFonts w:hint="eastAsia"/>
          <w:lang w:val="zh-CN"/>
        </w:rPr>
      </w:pPr>
    </w:p>
    <w:p>
      <w:pPr>
        <w:spacing w:line="240" w:lineRule="auto"/>
        <w:ind w:firstLine="299" w:firstLineChars="100"/>
        <w:jc w:val="center"/>
        <w:rPr>
          <w:rFonts w:hint="eastAsia" w:ascii="宋体" w:hAnsi="宋体" w:eastAsia="宋体" w:cs="宋体"/>
          <w:b/>
          <w:bCs/>
          <w:spacing w:val="-1"/>
          <w:kern w:val="0"/>
          <w:sz w:val="30"/>
          <w:szCs w:val="30"/>
          <w:lang w:val="zh-CN" w:bidi="zh-CN"/>
        </w:rPr>
      </w:pPr>
      <w:r>
        <w:rPr>
          <w:rFonts w:hint="eastAsia" w:ascii="宋体" w:hAnsi="宋体" w:eastAsia="宋体" w:cs="宋体"/>
          <w:b/>
          <w:bCs/>
          <w:spacing w:val="-1"/>
          <w:kern w:val="0"/>
          <w:sz w:val="30"/>
          <w:szCs w:val="30"/>
          <w:lang w:val="zh-CN" w:bidi="zh-CN"/>
        </w:rPr>
        <w:t>职工人员体检项目</w:t>
      </w:r>
      <w:bookmarkStart w:id="58" w:name="_GoBack"/>
      <w:bookmarkEnd w:id="58"/>
    </w:p>
    <w:tbl>
      <w:tblPr>
        <w:tblStyle w:val="26"/>
        <w:tblW w:w="94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04"/>
        <w:gridCol w:w="7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分组名称</w:t>
            </w:r>
          </w:p>
        </w:tc>
        <w:tc>
          <w:tcPr>
            <w:tcW w:w="75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各年龄段体检包含内容（均包含早餐和个检报告）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9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Theme="minorEastAsia" w:hAnsiTheme="minorEastAsia" w:cstheme="minorEastAsia"/>
                <w:sz w:val="20"/>
                <w:szCs w:val="20"/>
              </w:rPr>
            </w:pPr>
          </w:p>
        </w:tc>
        <w:tc>
          <w:tcPr>
            <w:tcW w:w="75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Theme="minorEastAsia" w:hAnsiTheme="minorEastAsia" w:cstheme="minorEastAsia"/>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Theme="minorEastAsia" w:hAnsiTheme="minorEastAsia" w:cstheme="minorEastAsia"/>
                <w:sz w:val="20"/>
                <w:szCs w:val="20"/>
                <w:highlight w:val="none"/>
              </w:rPr>
            </w:pPr>
            <w:r>
              <w:rPr>
                <w:rFonts w:hint="eastAsia" w:ascii="宋体" w:hAnsi="宋体" w:eastAsia="宋体" w:cs="宋体"/>
                <w:b w:val="0"/>
                <w:bCs w:val="0"/>
                <w:kern w:val="0"/>
                <w:sz w:val="18"/>
                <w:szCs w:val="18"/>
                <w:highlight w:val="none"/>
              </w:rPr>
              <w:t>40岁</w:t>
            </w:r>
            <w:r>
              <w:rPr>
                <w:rFonts w:hint="eastAsia" w:ascii="宋体" w:hAnsi="宋体" w:eastAsia="宋体" w:cs="宋体"/>
                <w:b w:val="0"/>
                <w:bCs w:val="0"/>
                <w:kern w:val="0"/>
                <w:sz w:val="18"/>
                <w:szCs w:val="18"/>
                <w:highlight w:val="none"/>
                <w:lang w:val="en-US" w:eastAsia="zh-CN"/>
              </w:rPr>
              <w:t>及</w:t>
            </w:r>
            <w:r>
              <w:rPr>
                <w:rFonts w:hint="eastAsia" w:ascii="宋体" w:hAnsi="宋体" w:eastAsia="宋体" w:cs="宋体"/>
                <w:b w:val="0"/>
                <w:bCs w:val="0"/>
                <w:kern w:val="0"/>
                <w:sz w:val="18"/>
                <w:szCs w:val="18"/>
                <w:highlight w:val="none"/>
              </w:rPr>
              <w:t>以上男</w:t>
            </w:r>
            <w:r>
              <w:rPr>
                <w:rFonts w:hint="eastAsia" w:ascii="宋体" w:hAnsi="宋体" w:eastAsia="宋体" w:cs="宋体"/>
                <w:b w:val="0"/>
                <w:bCs w:val="0"/>
                <w:kern w:val="0"/>
                <w:sz w:val="18"/>
                <w:szCs w:val="18"/>
                <w:highlight w:val="none"/>
                <w:lang w:val="en-US" w:eastAsia="zh-CN"/>
              </w:rPr>
              <w:t>性</w:t>
            </w:r>
            <w:r>
              <w:rPr>
                <w:rFonts w:hint="eastAsia" w:asciiTheme="minorEastAsia" w:hAnsiTheme="minorEastAsia" w:cstheme="minorEastAsia"/>
                <w:sz w:val="20"/>
                <w:szCs w:val="20"/>
                <w:highlight w:val="none"/>
                <w:lang w:eastAsia="zh-CN"/>
              </w:rPr>
              <w:br w:type="textWrapping"/>
            </w:r>
          </w:p>
        </w:tc>
        <w:tc>
          <w:tcPr>
            <w:tcW w:w="7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Theme="minorEastAsia" w:hAnsiTheme="minorEastAsia" w:cstheme="minorEastAsia"/>
                <w:sz w:val="20"/>
                <w:szCs w:val="20"/>
                <w:lang w:val="en-US"/>
              </w:rPr>
            </w:pPr>
            <w:r>
              <w:rPr>
                <w:rFonts w:hint="eastAsia" w:asciiTheme="minorEastAsia" w:hAnsiTheme="minorEastAsia" w:cstheme="minorEastAsia"/>
                <w:sz w:val="20"/>
                <w:szCs w:val="20"/>
                <w:lang w:val="en-US" w:eastAsia="zh-CN"/>
              </w:rPr>
              <w:t>血常规、尿常规、便常规、肝功三项、肾功三项、空腹血糖、血脂四项、心肌酶、 肿瘤12项、幽门螺旋杆菌检测、同型半胱氨酸、血管内皮生长因子（VEGF)测定、甲功五项、一般检查、内科、外科、腹部彩超、胸部CT（40 岁及以上）、心电图、甲状腺彩超、颈动脉彩超（40 岁及以上）、心脏彩超（40岁及以上）；前列腺彩超(23项）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Theme="minorEastAsia" w:hAnsiTheme="minorEastAsia" w:cstheme="minorEastAsia"/>
                <w:sz w:val="20"/>
                <w:szCs w:val="20"/>
                <w:highlight w:val="none"/>
              </w:rPr>
            </w:pPr>
            <w:r>
              <w:rPr>
                <w:rFonts w:hint="eastAsia" w:ascii="宋体" w:hAnsi="宋体" w:eastAsia="宋体" w:cs="宋体"/>
                <w:b w:val="0"/>
                <w:bCs w:val="0"/>
                <w:kern w:val="0"/>
                <w:sz w:val="18"/>
                <w:szCs w:val="18"/>
                <w:highlight w:val="none"/>
              </w:rPr>
              <w:t>40岁以</w:t>
            </w:r>
            <w:r>
              <w:rPr>
                <w:rFonts w:hint="eastAsia" w:ascii="宋体" w:hAnsi="宋体" w:eastAsia="宋体" w:cs="宋体"/>
                <w:b w:val="0"/>
                <w:bCs w:val="0"/>
                <w:kern w:val="0"/>
                <w:sz w:val="18"/>
                <w:szCs w:val="18"/>
                <w:highlight w:val="none"/>
                <w:lang w:val="en-US" w:eastAsia="zh-CN"/>
              </w:rPr>
              <w:t>下</w:t>
            </w:r>
            <w:r>
              <w:rPr>
                <w:rFonts w:hint="eastAsia" w:ascii="宋体" w:hAnsi="宋体" w:eastAsia="宋体" w:cs="宋体"/>
                <w:b w:val="0"/>
                <w:bCs w:val="0"/>
                <w:kern w:val="0"/>
                <w:sz w:val="18"/>
                <w:szCs w:val="18"/>
                <w:highlight w:val="none"/>
              </w:rPr>
              <w:t>男</w:t>
            </w:r>
            <w:r>
              <w:rPr>
                <w:rFonts w:hint="eastAsia" w:ascii="宋体" w:hAnsi="宋体" w:cs="宋体"/>
                <w:b w:val="0"/>
                <w:bCs w:val="0"/>
                <w:kern w:val="0"/>
                <w:sz w:val="18"/>
                <w:szCs w:val="18"/>
                <w:highlight w:val="none"/>
                <w:lang w:val="en-US" w:eastAsia="zh-CN"/>
              </w:rPr>
              <w:t>性</w:t>
            </w:r>
            <w:r>
              <w:rPr>
                <w:rFonts w:hint="eastAsia" w:asciiTheme="minorEastAsia" w:hAnsiTheme="minorEastAsia" w:cstheme="minorEastAsia"/>
                <w:sz w:val="20"/>
                <w:szCs w:val="20"/>
                <w:highlight w:val="none"/>
                <w:lang w:eastAsia="zh-CN"/>
              </w:rPr>
              <w:br w:type="textWrapping"/>
            </w:r>
          </w:p>
        </w:tc>
        <w:tc>
          <w:tcPr>
            <w:tcW w:w="7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Theme="minorEastAsia" w:hAnsiTheme="minorEastAsia" w:cstheme="minorEastAsia"/>
                <w:sz w:val="20"/>
                <w:szCs w:val="20"/>
                <w:lang w:val="en-US"/>
              </w:rPr>
            </w:pPr>
            <w:r>
              <w:rPr>
                <w:rFonts w:hint="eastAsia" w:asciiTheme="minorEastAsia" w:hAnsiTheme="minorEastAsia" w:cstheme="minorEastAsia"/>
                <w:sz w:val="20"/>
                <w:szCs w:val="20"/>
                <w:lang w:val="en-US" w:eastAsia="zh-CN"/>
              </w:rPr>
              <w:t>血常规、尿常规、便常规、肝功三项、肾功三项、空腹血糖、血脂四项、心肌酶、 肿瘤12项、幽门螺旋杆菌检测、同型半胱氨酸、血管内皮生长因子（VEGF)测定、甲功五项、一般检查、内科、外科、腹部彩超、胸部正位（40岁以下）、心电图、甲状腺彩超；前列腺彩超（21项）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Theme="minorEastAsia" w:hAnsiTheme="minorEastAsia" w:cstheme="minorEastAsia"/>
                <w:sz w:val="20"/>
                <w:szCs w:val="20"/>
                <w:highlight w:val="none"/>
              </w:rPr>
            </w:pPr>
            <w:r>
              <w:rPr>
                <w:rFonts w:hint="eastAsia" w:ascii="宋体" w:hAnsi="宋体" w:eastAsia="宋体" w:cs="宋体"/>
                <w:b w:val="0"/>
                <w:bCs w:val="0"/>
                <w:kern w:val="0"/>
                <w:sz w:val="18"/>
                <w:szCs w:val="18"/>
                <w:highlight w:val="none"/>
              </w:rPr>
              <w:t>40岁及以上已婚女</w:t>
            </w:r>
            <w:r>
              <w:rPr>
                <w:rFonts w:hint="eastAsia" w:ascii="宋体" w:hAnsi="宋体" w:cs="宋体"/>
                <w:b w:val="0"/>
                <w:bCs w:val="0"/>
                <w:kern w:val="0"/>
                <w:sz w:val="18"/>
                <w:szCs w:val="18"/>
                <w:highlight w:val="none"/>
                <w:lang w:val="en-US" w:eastAsia="zh-CN"/>
              </w:rPr>
              <w:t>性</w:t>
            </w:r>
            <w:r>
              <w:rPr>
                <w:rFonts w:hint="eastAsia" w:asciiTheme="minorEastAsia" w:hAnsiTheme="minorEastAsia" w:cstheme="minorEastAsia"/>
                <w:sz w:val="20"/>
                <w:szCs w:val="20"/>
                <w:highlight w:val="none"/>
                <w:lang w:eastAsia="zh-CN"/>
              </w:rPr>
              <w:br w:type="textWrapping"/>
            </w:r>
          </w:p>
        </w:tc>
        <w:tc>
          <w:tcPr>
            <w:tcW w:w="7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Theme="minorEastAsia" w:hAnsiTheme="minorEastAsia" w:cstheme="minorEastAsia"/>
                <w:sz w:val="20"/>
                <w:szCs w:val="20"/>
                <w:lang w:val="en-US"/>
              </w:rPr>
            </w:pPr>
            <w:r>
              <w:rPr>
                <w:rFonts w:hint="eastAsia" w:asciiTheme="minorEastAsia" w:hAnsiTheme="minorEastAsia" w:cstheme="minorEastAsia"/>
                <w:sz w:val="20"/>
                <w:szCs w:val="20"/>
                <w:lang w:val="en-US" w:eastAsia="zh-CN"/>
              </w:rPr>
              <w:t>血常规、尿常规、便常规、肝功三项、肾功三项、空腹血糖、血脂四项、心肌酶、 肿瘤12项、幽门螺旋杆菌检测、同型半胱氨酸、血管内皮生长因子（VEGF)测定、甲功五项、一般检查、内科、外科、腹部彩超、胸部CT（40 岁及以上）、心电图、甲状腺彩超、颈动脉彩超（40 岁及以上）、心脏彩超（40岁及以上）；妇科内诊、TCT、HPV、子宫附件彩超、乳腺彩超（27项）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5" w:hRule="atLeast"/>
        </w:trPr>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Theme="minorEastAsia" w:hAnsiTheme="minorEastAsia" w:cstheme="minorEastAsia"/>
                <w:sz w:val="20"/>
                <w:szCs w:val="20"/>
                <w:highlight w:val="none"/>
                <w:lang w:val="en-US" w:eastAsia="zh-CN"/>
              </w:rPr>
            </w:pPr>
            <w:r>
              <w:rPr>
                <w:rFonts w:hint="eastAsia" w:ascii="宋体" w:hAnsi="宋体" w:eastAsia="宋体" w:cs="宋体"/>
                <w:b w:val="0"/>
                <w:bCs w:val="0"/>
                <w:kern w:val="0"/>
                <w:sz w:val="18"/>
                <w:szCs w:val="18"/>
                <w:highlight w:val="none"/>
              </w:rPr>
              <w:t>40岁以</w:t>
            </w:r>
            <w:r>
              <w:rPr>
                <w:rFonts w:hint="eastAsia" w:ascii="宋体" w:hAnsi="宋体" w:eastAsia="宋体" w:cs="宋体"/>
                <w:b w:val="0"/>
                <w:bCs w:val="0"/>
                <w:kern w:val="0"/>
                <w:sz w:val="18"/>
                <w:szCs w:val="18"/>
                <w:highlight w:val="none"/>
                <w:lang w:val="en-US" w:eastAsia="zh-CN"/>
              </w:rPr>
              <w:t>下</w:t>
            </w:r>
            <w:r>
              <w:rPr>
                <w:rFonts w:hint="eastAsia" w:ascii="宋体" w:hAnsi="宋体" w:eastAsia="宋体" w:cs="宋体"/>
                <w:b w:val="0"/>
                <w:bCs w:val="0"/>
                <w:kern w:val="0"/>
                <w:sz w:val="18"/>
                <w:szCs w:val="18"/>
                <w:highlight w:val="none"/>
              </w:rPr>
              <w:t>已婚女</w:t>
            </w:r>
            <w:r>
              <w:rPr>
                <w:rFonts w:hint="eastAsia" w:ascii="宋体" w:hAnsi="宋体" w:cs="宋体"/>
                <w:b w:val="0"/>
                <w:bCs w:val="0"/>
                <w:kern w:val="0"/>
                <w:sz w:val="18"/>
                <w:szCs w:val="18"/>
                <w:highlight w:val="none"/>
                <w:lang w:val="en-US" w:eastAsia="zh-CN"/>
              </w:rPr>
              <w:t>性</w:t>
            </w:r>
          </w:p>
        </w:tc>
        <w:tc>
          <w:tcPr>
            <w:tcW w:w="7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血常规、尿常规、便常规、肝功三项、肾功三项、空腹血糖、血脂四项、心肌酶、 肿瘤12项、幽门螺旋杆菌检测、同型半胱氨酸、血管内皮生长因子（VEGF)测定、甲功五项、一般检查、内科、外科、腹部彩超、胸部正位（40岁以下）、心电图、甲状腺彩超；妇科内诊、TCT、HPV、子宫附件彩超、乳腺彩超；（25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Theme="minorEastAsia" w:hAnsiTheme="minorEastAsia" w:cstheme="minorEastAsia"/>
                <w:sz w:val="20"/>
                <w:szCs w:val="20"/>
                <w:highlight w:val="none"/>
                <w:lang w:val="en-US" w:eastAsia="zh-CN"/>
              </w:rPr>
            </w:pPr>
            <w:r>
              <w:rPr>
                <w:rFonts w:hint="eastAsia" w:ascii="宋体" w:hAnsi="宋体" w:eastAsia="宋体" w:cs="宋体"/>
                <w:b w:val="0"/>
                <w:bCs w:val="0"/>
                <w:kern w:val="0"/>
                <w:sz w:val="18"/>
                <w:szCs w:val="18"/>
                <w:highlight w:val="none"/>
              </w:rPr>
              <w:t>40岁</w:t>
            </w:r>
            <w:r>
              <w:rPr>
                <w:rFonts w:hint="eastAsia" w:ascii="宋体" w:hAnsi="宋体" w:cs="宋体"/>
                <w:b w:val="0"/>
                <w:bCs w:val="0"/>
                <w:kern w:val="0"/>
                <w:sz w:val="18"/>
                <w:szCs w:val="18"/>
                <w:highlight w:val="none"/>
                <w:lang w:val="en-US" w:eastAsia="zh-CN"/>
              </w:rPr>
              <w:t>及</w:t>
            </w:r>
            <w:r>
              <w:rPr>
                <w:rFonts w:hint="eastAsia" w:ascii="宋体" w:hAnsi="宋体" w:eastAsia="宋体" w:cs="宋体"/>
                <w:b w:val="0"/>
                <w:bCs w:val="0"/>
                <w:kern w:val="0"/>
                <w:sz w:val="18"/>
                <w:szCs w:val="18"/>
                <w:highlight w:val="none"/>
              </w:rPr>
              <w:t>以上</w:t>
            </w:r>
            <w:r>
              <w:rPr>
                <w:rFonts w:hint="eastAsia" w:ascii="宋体" w:hAnsi="宋体" w:eastAsia="宋体" w:cs="宋体"/>
                <w:b w:val="0"/>
                <w:bCs w:val="0"/>
                <w:kern w:val="0"/>
                <w:sz w:val="18"/>
                <w:szCs w:val="18"/>
                <w:highlight w:val="none"/>
                <w:lang w:val="en-US" w:eastAsia="zh-CN"/>
              </w:rPr>
              <w:t>未</w:t>
            </w:r>
            <w:r>
              <w:rPr>
                <w:rFonts w:hint="eastAsia" w:ascii="宋体" w:hAnsi="宋体" w:eastAsia="宋体" w:cs="宋体"/>
                <w:b w:val="0"/>
                <w:bCs w:val="0"/>
                <w:kern w:val="0"/>
                <w:sz w:val="18"/>
                <w:szCs w:val="18"/>
                <w:highlight w:val="none"/>
              </w:rPr>
              <w:t>婚女</w:t>
            </w:r>
            <w:r>
              <w:rPr>
                <w:rFonts w:hint="eastAsia" w:ascii="宋体" w:hAnsi="宋体" w:cs="宋体"/>
                <w:b w:val="0"/>
                <w:bCs w:val="0"/>
                <w:kern w:val="0"/>
                <w:sz w:val="18"/>
                <w:szCs w:val="18"/>
                <w:highlight w:val="none"/>
                <w:lang w:val="en-US" w:eastAsia="zh-CN"/>
              </w:rPr>
              <w:t>性</w:t>
            </w:r>
            <w:r>
              <w:rPr>
                <w:rFonts w:hint="eastAsia" w:asciiTheme="minorEastAsia" w:hAnsiTheme="minorEastAsia" w:cstheme="minorEastAsia"/>
                <w:sz w:val="20"/>
                <w:szCs w:val="20"/>
                <w:highlight w:val="none"/>
                <w:lang w:val="en-US" w:eastAsia="zh-CN"/>
              </w:rPr>
              <w:br w:type="textWrapping"/>
            </w:r>
          </w:p>
        </w:tc>
        <w:tc>
          <w:tcPr>
            <w:tcW w:w="7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血常规、尿常规、便常规、肝功三项、肾功三项、空腹血糖、血脂四项、心肌酶、 肿瘤12项、幽门螺旋杆菌检测、同型半胱氨酸、血管内皮生长因子（VEGF)测定、甲功五项、一般检查、内科、外科、腹部彩超、胸部CT（40 岁及以上）、心电图、甲状腺彩超、颈动脉彩超（40 岁及以上）、心脏彩超（40岁及以上）；妇科内诊、TCT、HPV、子宫附件彩超、乳腺彩超 （27项）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19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eastAsia" w:asciiTheme="minorEastAsia" w:hAnsiTheme="minorEastAsia" w:cstheme="minorEastAsia"/>
                <w:sz w:val="20"/>
                <w:szCs w:val="20"/>
                <w:highlight w:val="none"/>
                <w:lang w:val="en-US" w:eastAsia="zh-CN"/>
              </w:rPr>
            </w:pPr>
            <w:r>
              <w:rPr>
                <w:rFonts w:hint="eastAsia" w:ascii="宋体" w:hAnsi="宋体" w:eastAsia="宋体" w:cs="宋体"/>
                <w:b w:val="0"/>
                <w:bCs w:val="0"/>
                <w:kern w:val="0"/>
                <w:sz w:val="18"/>
                <w:szCs w:val="18"/>
                <w:highlight w:val="none"/>
              </w:rPr>
              <w:t>40岁以</w:t>
            </w:r>
            <w:r>
              <w:rPr>
                <w:rFonts w:hint="eastAsia" w:ascii="宋体" w:hAnsi="宋体" w:eastAsia="宋体" w:cs="宋体"/>
                <w:b w:val="0"/>
                <w:bCs w:val="0"/>
                <w:kern w:val="0"/>
                <w:sz w:val="18"/>
                <w:szCs w:val="18"/>
                <w:highlight w:val="none"/>
                <w:lang w:val="en-US" w:eastAsia="zh-CN"/>
              </w:rPr>
              <w:t>下未</w:t>
            </w:r>
            <w:r>
              <w:rPr>
                <w:rFonts w:hint="eastAsia" w:ascii="宋体" w:hAnsi="宋体" w:eastAsia="宋体" w:cs="宋体"/>
                <w:b w:val="0"/>
                <w:bCs w:val="0"/>
                <w:kern w:val="0"/>
                <w:sz w:val="18"/>
                <w:szCs w:val="18"/>
                <w:highlight w:val="none"/>
              </w:rPr>
              <w:t>婚女</w:t>
            </w:r>
            <w:r>
              <w:rPr>
                <w:rFonts w:hint="eastAsia" w:ascii="宋体" w:hAnsi="宋体" w:cs="宋体"/>
                <w:b w:val="0"/>
                <w:bCs w:val="0"/>
                <w:kern w:val="0"/>
                <w:sz w:val="18"/>
                <w:szCs w:val="18"/>
                <w:highlight w:val="none"/>
                <w:lang w:val="en-US" w:eastAsia="zh-CN"/>
              </w:rPr>
              <w:t>性</w:t>
            </w:r>
            <w:r>
              <w:rPr>
                <w:rFonts w:hint="eastAsia" w:asciiTheme="minorEastAsia" w:hAnsiTheme="minorEastAsia" w:cstheme="minorEastAsia"/>
                <w:sz w:val="20"/>
                <w:szCs w:val="20"/>
                <w:highlight w:val="none"/>
                <w:lang w:val="en-US" w:eastAsia="zh-CN"/>
              </w:rPr>
              <w:br w:type="textWrapping"/>
            </w:r>
          </w:p>
        </w:tc>
        <w:tc>
          <w:tcPr>
            <w:tcW w:w="75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 xml:space="preserve">血常规、尿常规、便常规、肝功三项、肾功三项、空腹血糖、血脂四项、心肌酶、 肿瘤12项、幽门螺旋杆菌检测、同型半胱氨酸、血管内皮生长因子（VEGF)测定、甲功五项、一般检查、内科、外科、腹部彩超、胸部正位（40岁以下）、心电图、甲状腺彩超；妇科内诊、TCT、HPV、子宫附件彩超、乳腺彩超；(25项） </w:t>
            </w:r>
          </w:p>
        </w:tc>
      </w:tr>
    </w:tbl>
    <w:p>
      <w:pPr>
        <w:ind w:firstLine="210" w:firstLineChars="100"/>
        <w:rPr>
          <w:rFonts w:asciiTheme="minorEastAsia" w:hAnsiTheme="minorEastAsia"/>
          <w:szCs w:val="21"/>
        </w:rPr>
      </w:pPr>
    </w:p>
    <w:p>
      <w:pPr>
        <w:spacing w:line="240" w:lineRule="auto"/>
        <w:ind w:firstLine="319" w:firstLineChars="100"/>
        <w:jc w:val="center"/>
        <w:rPr>
          <w:rFonts w:hint="eastAsia" w:ascii="宋体" w:hAnsi="宋体" w:eastAsia="宋体" w:cs="宋体"/>
          <w:b/>
          <w:bCs/>
          <w:spacing w:val="-1"/>
          <w:kern w:val="0"/>
          <w:sz w:val="32"/>
          <w:szCs w:val="32"/>
          <w:lang w:val="zh-CN" w:bidi="zh-CN"/>
        </w:rPr>
      </w:pPr>
      <w:r>
        <w:rPr>
          <w:rFonts w:hint="eastAsia" w:ascii="宋体" w:hAnsi="宋体" w:eastAsia="宋体" w:cs="宋体"/>
          <w:b/>
          <w:bCs/>
          <w:spacing w:val="-1"/>
          <w:kern w:val="0"/>
          <w:sz w:val="32"/>
          <w:szCs w:val="32"/>
          <w:lang w:val="zh-CN" w:bidi="zh-CN"/>
        </w:rPr>
        <w:t>职工体检项目内容</w:t>
      </w:r>
    </w:p>
    <w:tbl>
      <w:tblPr>
        <w:tblStyle w:val="26"/>
        <w:tblW w:w="9409" w:type="dxa"/>
        <w:tblInd w:w="90" w:type="dxa"/>
        <w:tblLayout w:type="autofit"/>
        <w:tblCellMar>
          <w:top w:w="0" w:type="dxa"/>
          <w:left w:w="108" w:type="dxa"/>
          <w:bottom w:w="0" w:type="dxa"/>
          <w:right w:w="108" w:type="dxa"/>
        </w:tblCellMar>
      </w:tblPr>
      <w:tblGrid>
        <w:gridCol w:w="1323"/>
        <w:gridCol w:w="3313"/>
        <w:gridCol w:w="4773"/>
      </w:tblGrid>
      <w:tr>
        <w:tblPrEx>
          <w:tblCellMar>
            <w:top w:w="0" w:type="dxa"/>
            <w:left w:w="108" w:type="dxa"/>
            <w:bottom w:w="0" w:type="dxa"/>
            <w:right w:w="108" w:type="dxa"/>
          </w:tblCellMar>
        </w:tblPrEx>
        <w:trPr>
          <w:trHeight w:val="312" w:hRule="atLeast"/>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项目</w:t>
            </w:r>
          </w:p>
        </w:tc>
        <w:tc>
          <w:tcPr>
            <w:tcW w:w="33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指标</w:t>
            </w:r>
          </w:p>
        </w:tc>
        <w:tc>
          <w:tcPr>
            <w:tcW w:w="477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临床意义</w:t>
            </w:r>
          </w:p>
        </w:tc>
      </w:tr>
      <w:tr>
        <w:tblPrEx>
          <w:tblCellMar>
            <w:top w:w="0" w:type="dxa"/>
            <w:left w:w="108" w:type="dxa"/>
            <w:bottom w:w="0" w:type="dxa"/>
            <w:right w:w="108" w:type="dxa"/>
          </w:tblCellMar>
        </w:tblPrEx>
        <w:trPr>
          <w:trHeight w:val="523" w:hRule="atLeast"/>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一般检查</w:t>
            </w:r>
          </w:p>
        </w:tc>
        <w:tc>
          <w:tcPr>
            <w:tcW w:w="33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身高,体重,体重指数,收缩压,舒张压</w:t>
            </w:r>
          </w:p>
        </w:tc>
        <w:tc>
          <w:tcPr>
            <w:tcW w:w="477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通过仪器测量人体身高、体重及血压，科学判断体重是否标准、血压是否正常。</w:t>
            </w:r>
          </w:p>
        </w:tc>
      </w:tr>
      <w:tr>
        <w:tblPrEx>
          <w:tblCellMar>
            <w:top w:w="0" w:type="dxa"/>
            <w:left w:w="108" w:type="dxa"/>
            <w:bottom w:w="0" w:type="dxa"/>
            <w:right w:w="108" w:type="dxa"/>
          </w:tblCellMar>
        </w:tblPrEx>
        <w:trPr>
          <w:trHeight w:val="559"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内科</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病史,家族史,心率,心律,心音,肺部听诊,肝脏触诊,脾脏触诊,肾脏叩诊,内科其它</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通过视、触、叩、听检查心、肺、肝、脾等重要脏器的基本状况，发现常见疾病的相关征兆，或初步排除常见疾病。</w:t>
            </w:r>
          </w:p>
        </w:tc>
      </w:tr>
      <w:tr>
        <w:tblPrEx>
          <w:tblCellMar>
            <w:top w:w="0" w:type="dxa"/>
            <w:left w:w="108" w:type="dxa"/>
            <w:bottom w:w="0" w:type="dxa"/>
            <w:right w:w="108" w:type="dxa"/>
          </w:tblCellMar>
        </w:tblPrEx>
        <w:trPr>
          <w:trHeight w:val="758"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男外科</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皮肤,浅表淋巴结,甲状腺(外科),乳房,脊柱,四肢关节,外生殖器,肛门、直肠指诊,前列腺(外科),外科其它</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通过体格检查，检查男性皮肤、甲状腺、脊柱四肢、前列腺、外生殖器等重要脏器基本情况，发现常见外科疾病的相关征兆，或初步排除外科常见疾病。</w:t>
            </w:r>
          </w:p>
        </w:tc>
      </w:tr>
      <w:tr>
        <w:tblPrEx>
          <w:tblCellMar>
            <w:top w:w="0" w:type="dxa"/>
            <w:left w:w="108" w:type="dxa"/>
            <w:bottom w:w="0" w:type="dxa"/>
            <w:right w:w="108" w:type="dxa"/>
          </w:tblCellMar>
        </w:tblPrEx>
        <w:trPr>
          <w:trHeight w:val="1972"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血常规五分类</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白细胞计数,红细胞计数,血红蛋白,红细胞压积,平均红细胞体积,平均红细胞血红蛋白含量,平均红细胞血红蛋白浓度,红细胞分布宽度-变异系数,血小板计数,平均血小板体积,血小板分布宽度,淋巴细胞百分比,中间细胞百分比,中性粒细胞百分比,淋巴细胞绝对值,中间细胞绝对值,中性粒细胞绝对值,红细胞分布宽度-标准差,血小板压积</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通过检测血液细胞的计数及不同种类细胞、成分的分类来反映身体状况，如：贫血、感染等等。</w:t>
            </w:r>
          </w:p>
        </w:tc>
      </w:tr>
      <w:tr>
        <w:tblPrEx>
          <w:tblCellMar>
            <w:top w:w="0" w:type="dxa"/>
            <w:left w:w="108" w:type="dxa"/>
            <w:bottom w:w="0" w:type="dxa"/>
            <w:right w:w="108" w:type="dxa"/>
          </w:tblCellMar>
        </w:tblPrEx>
        <w:trPr>
          <w:trHeight w:val="90"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妇科内诊</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lang w:eastAsia="zh-CN"/>
              </w:rPr>
            </w:pPr>
            <w:r>
              <w:rPr>
                <w:rFonts w:hint="eastAsia" w:asciiTheme="minorEastAsia" w:hAnsiTheme="minorEastAsia" w:cstheme="minorEastAsia"/>
                <w:sz w:val="20"/>
                <w:szCs w:val="20"/>
              </w:rPr>
              <w:t>检查外阴</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阴道</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宫颈</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子宫和附件</w:t>
            </w:r>
          </w:p>
        </w:tc>
        <w:tc>
          <w:tcPr>
            <w:tcW w:w="477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妇科内诊检查是检查女性的外阴、阴道、宫颈、子宫和附件等，可以判断局部是否异常或者患有疾病。 </w:t>
            </w:r>
          </w:p>
        </w:tc>
      </w:tr>
      <w:tr>
        <w:tblPrEx>
          <w:tblCellMar>
            <w:top w:w="0" w:type="dxa"/>
            <w:left w:w="108" w:type="dxa"/>
            <w:bottom w:w="0" w:type="dxa"/>
            <w:right w:w="108" w:type="dxa"/>
          </w:tblCellMar>
        </w:tblPrEx>
        <w:trPr>
          <w:trHeight w:val="693"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 xml:space="preserve">  </w:t>
            </w:r>
            <w:r>
              <w:rPr>
                <w:rFonts w:hint="eastAsia" w:asciiTheme="minorEastAsia" w:hAnsiTheme="minorEastAsia" w:cstheme="minorEastAsia"/>
                <w:sz w:val="20"/>
                <w:szCs w:val="20"/>
              </w:rPr>
              <w:t>便常规 </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对了解胃肠道及肝、胆、胰腺等器官病变及判断胃肠、胰腺、肝胆系统功能有重要价值。 </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对了解胃肠道及肝、胆、胰腺等器官病变及判断胃肠、胰腺、肝胆系统功能有重要价值。 </w:t>
            </w:r>
          </w:p>
        </w:tc>
      </w:tr>
      <w:tr>
        <w:tblPrEx>
          <w:tblCellMar>
            <w:top w:w="0" w:type="dxa"/>
            <w:left w:w="108" w:type="dxa"/>
            <w:bottom w:w="0" w:type="dxa"/>
            <w:right w:w="108" w:type="dxa"/>
          </w:tblCellMar>
        </w:tblPrEx>
        <w:trPr>
          <w:trHeight w:val="974"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尿常规</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尿比重,尿酸碱度,尿白细胞,尿亚硝酸盐,尿蛋白质,尿糖,尿酮体,尿胆原,尿胆红素,尿隐血,尿镜检红细胞,尿镜检白细胞,管型,上皮细胞,无机盐类,尿镜检蛋白定性</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用于检查泌尿系统疾病，如泌尿系统感染、肿瘤、结石及了解肾功能，还可用于协助检查其他系统疾病，如糖尿病、高血压、肝炎等。</w:t>
            </w:r>
          </w:p>
        </w:tc>
      </w:tr>
      <w:tr>
        <w:tblPrEx>
          <w:tblCellMar>
            <w:top w:w="0" w:type="dxa"/>
            <w:left w:w="108" w:type="dxa"/>
            <w:bottom w:w="0" w:type="dxa"/>
            <w:right w:w="108" w:type="dxa"/>
          </w:tblCellMar>
        </w:tblPrEx>
        <w:trPr>
          <w:trHeight w:val="703"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肝功三项</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丙氨酸氨基转移酶,天门冬氨酸氨基转移酶,γ-谷氨酰转移酶</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更好地了解肝胆系统功能状况。 ALT、 AST、GGT主要存在于肝胆心脑肾组织细胞内，肝细胞损伤越大ALT、 AST、GGT就越高。急慢性肝炎、脂肪肝、肝硬化、肝癌、胆管炎等疾病均可引起ALT、 AST、GGT升高。</w:t>
            </w:r>
          </w:p>
        </w:tc>
      </w:tr>
      <w:tr>
        <w:tblPrEx>
          <w:tblCellMar>
            <w:top w:w="0" w:type="dxa"/>
            <w:left w:w="108" w:type="dxa"/>
            <w:bottom w:w="0" w:type="dxa"/>
            <w:right w:w="108" w:type="dxa"/>
          </w:tblCellMar>
        </w:tblPrEx>
        <w:trPr>
          <w:trHeight w:val="300"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肾功三项</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尿素,肌酐,尿酸</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用于评估肾功能。</w:t>
            </w:r>
          </w:p>
        </w:tc>
      </w:tr>
      <w:tr>
        <w:tblPrEx>
          <w:tblCellMar>
            <w:top w:w="0" w:type="dxa"/>
            <w:left w:w="108" w:type="dxa"/>
            <w:bottom w:w="0" w:type="dxa"/>
            <w:right w:w="108" w:type="dxa"/>
          </w:tblCellMar>
        </w:tblPrEx>
        <w:trPr>
          <w:trHeight w:val="507"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空腹血糖(FBG)</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空腹血葡萄糖</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评价人体空腹状态下糖代谢是否正常，评估糖尿病患者空腹血糖控制是否达标。空腹血糖是诊断糖代谢紊乱的最常用和最重要指标。</w:t>
            </w:r>
          </w:p>
        </w:tc>
      </w:tr>
      <w:tr>
        <w:tblPrEx>
          <w:tblCellMar>
            <w:top w:w="0" w:type="dxa"/>
            <w:left w:w="108" w:type="dxa"/>
            <w:bottom w:w="0" w:type="dxa"/>
            <w:right w:w="108" w:type="dxa"/>
          </w:tblCellMar>
        </w:tblPrEx>
        <w:trPr>
          <w:trHeight w:val="699"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血脂四项</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总胆固醇,甘油三酯,高密度脂蛋白胆固醇,低密度脂蛋白胆固醇</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测定血清中血脂含量，它们的增高或降低与动脉粥样硬化的形成有很大的关系。用于评价受检者的脂肪代谢水平，血脂代谢紊乱评价、动脉粥样硬化性疾病危险性预测和营养学评价。</w:t>
            </w:r>
          </w:p>
        </w:tc>
      </w:tr>
      <w:tr>
        <w:tblPrEx>
          <w:tblCellMar>
            <w:top w:w="0" w:type="dxa"/>
            <w:left w:w="108" w:type="dxa"/>
            <w:bottom w:w="0" w:type="dxa"/>
            <w:right w:w="108" w:type="dxa"/>
          </w:tblCellMar>
        </w:tblPrEx>
        <w:trPr>
          <w:trHeight w:val="1121" w:hRule="atLeast"/>
        </w:trPr>
        <w:tc>
          <w:tcPr>
            <w:tcW w:w="132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心肌酶三项</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主要存在于心肌、脑、肝、组织及骨骼；在急性心肌梗死、心肌损害时肌酸激酶、尤其CK-MB升高，另外，重症肺炎、心衰、尿毒症、急性颅脑损伤等均可升高。</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主要存在于心肌、脑、肝、组织及骨骼；在急性心肌梗死、心肌损害时肌酸激酶、尤其CK-MB升高，另外，重症肺炎、心衰、尿毒症、急性颅脑损伤等均可升高。</w:t>
            </w:r>
          </w:p>
        </w:tc>
      </w:tr>
      <w:tr>
        <w:tblPrEx>
          <w:tblCellMar>
            <w:top w:w="0" w:type="dxa"/>
            <w:left w:w="108" w:type="dxa"/>
            <w:bottom w:w="0" w:type="dxa"/>
            <w:right w:w="108" w:type="dxa"/>
          </w:tblCellMar>
        </w:tblPrEx>
        <w:trPr>
          <w:trHeight w:val="312" w:hRule="atLeast"/>
        </w:trPr>
        <w:tc>
          <w:tcPr>
            <w:tcW w:w="132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甲功五项</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 xml:space="preserve">T3 T4 TSH FT3 FT4 </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用于甲状腺功能评价、甲状腺疾病诊断及治疗监测。 </w:t>
            </w:r>
          </w:p>
        </w:tc>
      </w:tr>
      <w:tr>
        <w:tblPrEx>
          <w:tblCellMar>
            <w:top w:w="0" w:type="dxa"/>
            <w:left w:w="108" w:type="dxa"/>
            <w:bottom w:w="0" w:type="dxa"/>
            <w:right w:w="108" w:type="dxa"/>
          </w:tblCellMar>
        </w:tblPrEx>
        <w:trPr>
          <w:trHeight w:val="1368" w:hRule="atLeast"/>
        </w:trPr>
        <w:tc>
          <w:tcPr>
            <w:tcW w:w="13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同型半胱氨酸（Hcy)</w:t>
            </w:r>
          </w:p>
        </w:tc>
        <w:tc>
          <w:tcPr>
            <w:tcW w:w="331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同型半胱氨酸（Hcy)</w:t>
            </w:r>
          </w:p>
        </w:tc>
        <w:tc>
          <w:tcPr>
            <w:tcW w:w="477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同型半胱氨酸是人体内含硫氨基酸的一个重要的代谢中间产物，可能是动脉粥样硬化等心血管疾病发病的一个独立危险因子。血浆中同型半胱氨酸含量与遗传因素、营养因素、雌激素水平、年龄因素等有关，与同型半胱氨酸代谢有关的N5N10-亚甲基四氢叶酸还原酶和胱硫醚-β-合成酶的基因突变，酶活性下降，也可引起高同型半胱氨酸血症。</w:t>
            </w:r>
          </w:p>
        </w:tc>
      </w:tr>
      <w:tr>
        <w:tblPrEx>
          <w:tblCellMar>
            <w:top w:w="0" w:type="dxa"/>
            <w:left w:w="108" w:type="dxa"/>
            <w:bottom w:w="0" w:type="dxa"/>
            <w:right w:w="108" w:type="dxa"/>
          </w:tblCellMar>
        </w:tblPrEx>
        <w:trPr>
          <w:trHeight w:val="424" w:hRule="atLeast"/>
        </w:trPr>
        <w:tc>
          <w:tcPr>
            <w:tcW w:w="132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血管内皮生长因子（VEGF）</w:t>
            </w:r>
          </w:p>
        </w:tc>
        <w:tc>
          <w:tcPr>
            <w:tcW w:w="3313" w:type="dxa"/>
            <w:tcBorders>
              <w:top w:val="nil"/>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血管内皮生长因子（VEGF）</w:t>
            </w:r>
          </w:p>
        </w:tc>
        <w:tc>
          <w:tcPr>
            <w:tcW w:w="4773" w:type="dxa"/>
            <w:tcBorders>
              <w:top w:val="nil"/>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血管内皮生长因子，简称VEGF，是目前通过血液检查肿瘤最有意义的的标志物。VEGF具有应用的肿瘤更广泛、更方便等特点，几乎可以应用于筛查所有的实体肿瘤，其浓度变化对许多临床肿瘤的诊断有一定参考意义。</w:t>
            </w:r>
          </w:p>
        </w:tc>
      </w:tr>
      <w:tr>
        <w:tblPrEx>
          <w:tblCellMar>
            <w:top w:w="0" w:type="dxa"/>
            <w:left w:w="108" w:type="dxa"/>
            <w:bottom w:w="0" w:type="dxa"/>
            <w:right w:w="108" w:type="dxa"/>
          </w:tblCellMar>
        </w:tblPrEx>
        <w:trPr>
          <w:trHeight w:val="544"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幽门螺杆菌检测（C14呼气试验）</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幽门螺杆菌检测（呼气试验）</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碳14-尿素呼气试验阳性示有幽门螺杆菌感染，它与胃部炎症、消化性溃疡、胃癌的发生密切关联。</w:t>
            </w:r>
          </w:p>
        </w:tc>
      </w:tr>
      <w:tr>
        <w:tblPrEx>
          <w:tblCellMar>
            <w:top w:w="0" w:type="dxa"/>
            <w:left w:w="108" w:type="dxa"/>
            <w:bottom w:w="0" w:type="dxa"/>
            <w:right w:w="108" w:type="dxa"/>
          </w:tblCellMar>
        </w:tblPrEx>
        <w:trPr>
          <w:trHeight w:val="879"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腹部彩超</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肝,胆,胰,脾,双肾</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对人体腹部内脏器官（肝、胆、脾、胰、双肾）的状况和各种病变（如肿瘤、结石、积水、脂肪肝等）提供高清晰度的彩色动态超声断层图像判断，依病灶周围血管情况、病灶内血流血供情况-良恶性病变鉴别；判断肾动脉狭窄等。</w:t>
            </w:r>
          </w:p>
        </w:tc>
      </w:tr>
      <w:tr>
        <w:tblPrEx>
          <w:tblCellMar>
            <w:top w:w="0" w:type="dxa"/>
            <w:left w:w="108" w:type="dxa"/>
            <w:bottom w:w="0" w:type="dxa"/>
            <w:right w:w="108" w:type="dxa"/>
          </w:tblCellMar>
        </w:tblPrEx>
        <w:trPr>
          <w:trHeight w:val="552"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前列腺彩超</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前列腺</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通过彩色超声仪器检查更清晰地观察前列腺大小、形态、结构等情况，判断有无前列腺增大、囊肿、结石，恶性病变等。</w:t>
            </w:r>
          </w:p>
        </w:tc>
      </w:tr>
      <w:tr>
        <w:tblPrEx>
          <w:tblCellMar>
            <w:top w:w="0" w:type="dxa"/>
            <w:left w:w="108" w:type="dxa"/>
            <w:bottom w:w="0" w:type="dxa"/>
            <w:right w:w="108" w:type="dxa"/>
          </w:tblCellMar>
        </w:tblPrEx>
        <w:trPr>
          <w:trHeight w:val="701" w:hRule="atLeast"/>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甲状腺彩超</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甲状腺</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通过彩色超声仪器更清晰地观察甲状腺肿物、结节、肿大、炎症；可发现甲状腺肿、甲状腺囊肿、甲状腺炎、甲状腺瘤、甲状腺癌等疾病。</w:t>
            </w:r>
          </w:p>
        </w:tc>
      </w:tr>
      <w:tr>
        <w:tblPrEx>
          <w:tblCellMar>
            <w:top w:w="0" w:type="dxa"/>
            <w:left w:w="108" w:type="dxa"/>
            <w:bottom w:w="0" w:type="dxa"/>
            <w:right w:w="108" w:type="dxa"/>
          </w:tblCellMar>
        </w:tblPrEx>
        <w:trPr>
          <w:trHeight w:val="825" w:hRule="atLeast"/>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颈动脉彩超</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颈动脉</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通过彩色超声检测颈动脉结构和动脉粥样硬化斑形态、范围、性质、动脉狭窄程度等；早期发现动脉血管病变，为有效预防和减少冠心病、缺血性脑血管病等心脑血管疾病发病提供客观的血流动力学依据。</w:t>
            </w:r>
          </w:p>
        </w:tc>
      </w:tr>
      <w:tr>
        <w:tblPrEx>
          <w:tblCellMar>
            <w:top w:w="0" w:type="dxa"/>
            <w:left w:w="108" w:type="dxa"/>
            <w:bottom w:w="0" w:type="dxa"/>
            <w:right w:w="108" w:type="dxa"/>
          </w:tblCellMar>
        </w:tblPrEx>
        <w:trPr>
          <w:trHeight w:val="838" w:hRule="atLeast"/>
        </w:trPr>
        <w:tc>
          <w:tcPr>
            <w:tcW w:w="132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心脏彩超</w:t>
            </w:r>
          </w:p>
        </w:tc>
        <w:tc>
          <w:tcPr>
            <w:tcW w:w="331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心脏</w:t>
            </w:r>
          </w:p>
        </w:tc>
        <w:tc>
          <w:tcPr>
            <w:tcW w:w="477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 xml:space="preserve">是应用超声波扫描技术观察心血管结构、血流动力学状况及心功能的一种无创伤性检查方法，它可了解心脏各组成部分的形态以及功能状态，了解心脏内畸形位置、大小、大血管的关系以及其他畸形情况和病变程度。  </w:t>
            </w:r>
          </w:p>
        </w:tc>
      </w:tr>
      <w:tr>
        <w:tblPrEx>
          <w:tblCellMar>
            <w:top w:w="0" w:type="dxa"/>
            <w:left w:w="108" w:type="dxa"/>
            <w:bottom w:w="0" w:type="dxa"/>
            <w:right w:w="108" w:type="dxa"/>
          </w:tblCellMar>
        </w:tblPrEx>
        <w:trPr>
          <w:trHeight w:val="255"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胸部正位</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rPr>
              <w:t>胸部</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通过X线拍片检查两肺、心脏、纵隔、膈、胸膜，判断有无炎症、肿瘤等。</w:t>
            </w:r>
          </w:p>
        </w:tc>
      </w:tr>
      <w:tr>
        <w:tblPrEx>
          <w:tblCellMar>
            <w:top w:w="0" w:type="dxa"/>
            <w:left w:w="108" w:type="dxa"/>
            <w:bottom w:w="0" w:type="dxa"/>
            <w:right w:w="108" w:type="dxa"/>
          </w:tblCellMar>
        </w:tblPrEx>
        <w:trPr>
          <w:trHeight w:val="516"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rPr>
              <w:t>胸部</w:t>
            </w:r>
            <w:r>
              <w:rPr>
                <w:rFonts w:hint="eastAsia" w:asciiTheme="minorEastAsia" w:hAnsiTheme="minorEastAsia" w:cstheme="minorEastAsia"/>
                <w:sz w:val="20"/>
                <w:szCs w:val="20"/>
                <w:lang w:val="en-US" w:eastAsia="zh-CN"/>
              </w:rPr>
              <w:t>CT</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sz w:val="20"/>
                <w:szCs w:val="20"/>
                <w:lang w:eastAsia="zh-CN"/>
              </w:rPr>
            </w:pPr>
            <w:r>
              <w:rPr>
                <w:rFonts w:hint="eastAsia" w:asciiTheme="minorEastAsia" w:hAnsiTheme="minorEastAsia" w:cstheme="minorEastAsia"/>
                <w:sz w:val="20"/>
                <w:szCs w:val="20"/>
                <w:lang w:eastAsia="zh-CN"/>
              </w:rPr>
              <w:t>胸部</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rPr>
              <w:t>通过</w:t>
            </w:r>
            <w:r>
              <w:rPr>
                <w:rFonts w:hint="eastAsia" w:asciiTheme="minorEastAsia" w:hAnsiTheme="minorEastAsia" w:cstheme="minorEastAsia"/>
                <w:sz w:val="20"/>
                <w:szCs w:val="20"/>
                <w:lang w:val="en-US" w:eastAsia="zh-CN"/>
              </w:rPr>
              <w:t>CT</w:t>
            </w:r>
            <w:r>
              <w:rPr>
                <w:rFonts w:hint="eastAsia" w:asciiTheme="minorEastAsia" w:hAnsiTheme="minorEastAsia" w:cstheme="minorEastAsia"/>
                <w:sz w:val="20"/>
                <w:szCs w:val="20"/>
              </w:rPr>
              <w:t>拍片检查两肺、心脏、纵隔、膈、胸膜，判断有无炎症、肿瘤等。</w:t>
            </w:r>
          </w:p>
        </w:tc>
      </w:tr>
      <w:tr>
        <w:tblPrEx>
          <w:tblCellMar>
            <w:top w:w="0" w:type="dxa"/>
            <w:left w:w="108" w:type="dxa"/>
            <w:bottom w:w="0" w:type="dxa"/>
            <w:right w:w="108" w:type="dxa"/>
          </w:tblCellMar>
        </w:tblPrEx>
        <w:trPr>
          <w:trHeight w:val="300" w:hRule="atLeast"/>
        </w:trPr>
        <w:tc>
          <w:tcPr>
            <w:tcW w:w="132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rPr>
              <w:t>心电图</w:t>
            </w:r>
          </w:p>
        </w:tc>
        <w:tc>
          <w:tcPr>
            <w:tcW w:w="3313" w:type="dxa"/>
            <w:tcBorders>
              <w:top w:val="nil"/>
              <w:left w:val="nil"/>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rPr>
              <w:t>心电图</w:t>
            </w:r>
          </w:p>
        </w:tc>
        <w:tc>
          <w:tcPr>
            <w:tcW w:w="4773" w:type="dxa"/>
            <w:tcBorders>
              <w:top w:val="nil"/>
              <w:left w:val="nil"/>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rPr>
              <w:t>通过在体表特定部位同步记录和分析心脏每一个心动周期所产生电活动变化的曲线图形，为心脏疾病诊断、疗效评价、预后评估提供重要的依据。</w:t>
            </w:r>
          </w:p>
        </w:tc>
      </w:tr>
      <w:tr>
        <w:tblPrEx>
          <w:tblCellMar>
            <w:top w:w="0" w:type="dxa"/>
            <w:left w:w="108" w:type="dxa"/>
            <w:bottom w:w="0" w:type="dxa"/>
            <w:right w:w="108" w:type="dxa"/>
          </w:tblCellMar>
        </w:tblPrEx>
        <w:trPr>
          <w:trHeight w:val="543" w:hRule="atLeast"/>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TCT</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rPr>
              <w:t>宫颈癌及癌前病变的筛查</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rPr>
              <w:t>TCT检查是液基薄层细胞学检查的英文简称，是采用液基薄层细胞学技术进行宫颈细胞学分类诊断，可用于宫颈病变的诊断。该技术属于形态学的检测，具有无创性、特异性好等特点</w:t>
            </w:r>
          </w:p>
        </w:tc>
      </w:tr>
      <w:tr>
        <w:tblPrEx>
          <w:tblCellMar>
            <w:top w:w="0" w:type="dxa"/>
            <w:left w:w="108" w:type="dxa"/>
            <w:bottom w:w="0" w:type="dxa"/>
            <w:right w:w="108" w:type="dxa"/>
          </w:tblCellMar>
        </w:tblPrEx>
        <w:trPr>
          <w:trHeight w:val="543" w:hRule="atLeast"/>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HPV</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人乳头瘤病毒的筛查</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kern w:val="2"/>
                <w:sz w:val="20"/>
                <w:szCs w:val="20"/>
                <w:lang w:val="en-US" w:eastAsia="zh-CN" w:bidi="ar-SA"/>
              </w:rPr>
            </w:pPr>
            <w:r>
              <w:rPr>
                <w:rFonts w:hint="eastAsia" w:asciiTheme="minorEastAsia" w:hAnsiTheme="minorEastAsia" w:cstheme="minorEastAsia"/>
                <w:sz w:val="20"/>
                <w:szCs w:val="20"/>
                <w:lang w:val="en-US" w:eastAsia="zh-CN"/>
              </w:rPr>
              <w:t>HPV-DNA检测是指人乳头状瘤病毒脱氧核糖核酸检测，一般通过检验病毒基因来判断正常人是否感染人乳头状瘤病毒。</w:t>
            </w:r>
          </w:p>
        </w:tc>
      </w:tr>
      <w:tr>
        <w:tblPrEx>
          <w:tblCellMar>
            <w:top w:w="0" w:type="dxa"/>
            <w:left w:w="108" w:type="dxa"/>
            <w:bottom w:w="0" w:type="dxa"/>
            <w:right w:w="108" w:type="dxa"/>
          </w:tblCellMar>
        </w:tblPrEx>
        <w:trPr>
          <w:trHeight w:val="543" w:hRule="atLeast"/>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子宫附件彩超</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子宫附件</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rPr>
            </w:pPr>
            <w:r>
              <w:rPr>
                <w:rFonts w:hint="eastAsia" w:asciiTheme="minorEastAsia" w:hAnsiTheme="minorEastAsia" w:cstheme="minorEastAsia"/>
                <w:sz w:val="20"/>
                <w:szCs w:val="20"/>
                <w:lang w:val="en-US" w:eastAsia="zh-CN"/>
              </w:rPr>
              <w:t>子宫附件彩超是通过彩超仪器来观察子宫、输卵管以及卵巢的一种检查方式，在临床上是很常见的，包括经腹检查和经阴道检查两种方式。</w:t>
            </w:r>
          </w:p>
        </w:tc>
      </w:tr>
      <w:tr>
        <w:tblPrEx>
          <w:tblCellMar>
            <w:top w:w="0" w:type="dxa"/>
            <w:left w:w="108" w:type="dxa"/>
            <w:bottom w:w="0" w:type="dxa"/>
            <w:right w:w="108" w:type="dxa"/>
          </w:tblCellMar>
        </w:tblPrEx>
        <w:trPr>
          <w:trHeight w:val="543" w:hRule="atLeast"/>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乳腺彩超</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乳腺</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lang w:val="en-US" w:eastAsia="zh-CN"/>
              </w:rPr>
              <w:t>乳腺彩超一般指乳腺B超。乳腺B超是一种利用超声波扫描乳腺，通过仪器接受折返信号并处理，来显示乳房内图像。通过其能够判断乳腺肿块的大小、形态、位置及血流状态等。</w:t>
            </w:r>
          </w:p>
        </w:tc>
      </w:tr>
      <w:tr>
        <w:tblPrEx>
          <w:tblCellMar>
            <w:top w:w="0" w:type="dxa"/>
            <w:left w:w="108" w:type="dxa"/>
            <w:bottom w:w="0" w:type="dxa"/>
            <w:right w:w="108" w:type="dxa"/>
          </w:tblCellMar>
        </w:tblPrEx>
        <w:trPr>
          <w:trHeight w:val="543" w:hRule="atLeast"/>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rPr>
              <w:t>早餐</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rPr>
              <w:t>营养早餐</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Theme="minorEastAsia" w:hAnsiTheme="minorEastAsia" w:eastAsiaTheme="minorEastAsia" w:cstheme="minorEastAsia"/>
                <w:sz w:val="20"/>
                <w:szCs w:val="20"/>
                <w:lang w:val="en-US" w:eastAsia="zh-CN"/>
              </w:rPr>
            </w:pPr>
            <w:r>
              <w:rPr>
                <w:rFonts w:hint="eastAsia" w:asciiTheme="minorEastAsia" w:hAnsiTheme="minorEastAsia" w:cstheme="minorEastAsia"/>
                <w:sz w:val="20"/>
                <w:szCs w:val="20"/>
              </w:rPr>
              <w:t>牛奶</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鸡蛋</w:t>
            </w:r>
            <w:r>
              <w:rPr>
                <w:rFonts w:hint="eastAsia" w:asciiTheme="minorEastAsia" w:hAnsiTheme="minorEastAsia" w:cstheme="minorEastAsia"/>
                <w:sz w:val="20"/>
                <w:szCs w:val="20"/>
                <w:lang w:eastAsia="zh-CN"/>
              </w:rPr>
              <w:t>、</w:t>
            </w:r>
            <w:r>
              <w:rPr>
                <w:rFonts w:hint="eastAsia" w:asciiTheme="minorEastAsia" w:hAnsiTheme="minorEastAsia" w:cstheme="minorEastAsia"/>
                <w:sz w:val="20"/>
                <w:szCs w:val="20"/>
              </w:rPr>
              <w:t>面包</w:t>
            </w:r>
            <w:r>
              <w:rPr>
                <w:rFonts w:hint="eastAsia" w:asciiTheme="minorEastAsia" w:hAnsiTheme="minorEastAsia" w:cstheme="minorEastAsia"/>
                <w:sz w:val="20"/>
                <w:szCs w:val="20"/>
                <w:lang w:val="en-US" w:eastAsia="zh-CN"/>
              </w:rPr>
              <w:t>等</w:t>
            </w:r>
          </w:p>
        </w:tc>
      </w:tr>
      <w:tr>
        <w:tblPrEx>
          <w:tblCellMar>
            <w:top w:w="0" w:type="dxa"/>
            <w:left w:w="108" w:type="dxa"/>
            <w:bottom w:w="0" w:type="dxa"/>
            <w:right w:w="108" w:type="dxa"/>
          </w:tblCellMar>
        </w:tblPrEx>
        <w:trPr>
          <w:trHeight w:val="543" w:hRule="atLeast"/>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rPr>
              <w:t>个检报告</w:t>
            </w:r>
          </w:p>
        </w:tc>
        <w:tc>
          <w:tcPr>
            <w:tcW w:w="33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heme="minorEastAsia" w:hAnsiTheme="minorEastAsia" w:cstheme="minorEastAsia"/>
                <w:sz w:val="20"/>
                <w:szCs w:val="20"/>
                <w:lang w:val="en-US" w:eastAsia="zh-CN"/>
              </w:rPr>
            </w:pPr>
            <w:r>
              <w:rPr>
                <w:rFonts w:hint="eastAsia" w:asciiTheme="minorEastAsia" w:hAnsiTheme="minorEastAsia" w:cstheme="minorEastAsia"/>
                <w:sz w:val="20"/>
                <w:szCs w:val="20"/>
              </w:rPr>
              <w:t>个检报告</w:t>
            </w:r>
          </w:p>
        </w:tc>
        <w:tc>
          <w:tcPr>
            <w:tcW w:w="47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eastAsia="宋体" w:asciiTheme="minorEastAsia" w:hAnsiTheme="minorEastAsia" w:cstheme="minorEastAsia"/>
                <w:sz w:val="20"/>
                <w:szCs w:val="20"/>
                <w:lang w:val="en-US" w:eastAsia="zh-CN"/>
              </w:rPr>
            </w:pPr>
            <w:r>
              <w:rPr>
                <w:rFonts w:hint="eastAsia" w:asciiTheme="minorEastAsia" w:hAnsiTheme="minorEastAsia" w:cstheme="minorEastAsia"/>
                <w:sz w:val="20"/>
                <w:szCs w:val="20"/>
              </w:rPr>
              <w:t>根据个人健康状况及疾病发展趋势，由专家分析主要健康问题，确定相关危险因素，并提供一份完整的个性化的体检报告解读及基本健康改善指导原则。</w:t>
            </w:r>
          </w:p>
        </w:tc>
      </w:tr>
    </w:tbl>
    <w:p>
      <w:pPr>
        <w:pStyle w:val="2"/>
        <w:rPr>
          <w:rFonts w:hint="eastAsia"/>
          <w:lang w:val="zh-CN"/>
        </w:rPr>
      </w:pPr>
    </w:p>
    <w:p>
      <w:pPr>
        <w:pStyle w:val="2"/>
        <w:rPr>
          <w:rFonts w:hint="default"/>
          <w:lang w:val="en-US"/>
        </w:rPr>
      </w:pPr>
    </w:p>
    <w:p>
      <w:pPr>
        <w:tabs>
          <w:tab w:val="left" w:pos="4276"/>
          <w:tab w:val="left" w:pos="8522"/>
        </w:tabs>
        <w:spacing w:line="360" w:lineRule="auto"/>
        <w:ind w:firstLine="476" w:firstLineChars="200"/>
        <w:jc w:val="left"/>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2"/>
        <w:rPr>
          <w:rFonts w:hint="eastAsia" w:ascii="宋体" w:hAnsi="宋体" w:eastAsia="宋体" w:cs="宋体"/>
          <w:b w:val="0"/>
          <w:bCs w:val="0"/>
          <w:spacing w:val="-1"/>
          <w:kern w:val="0"/>
          <w:sz w:val="24"/>
          <w:szCs w:val="24"/>
          <w:lang w:val="zh-CN" w:bidi="zh-CN"/>
        </w:rPr>
      </w:pPr>
    </w:p>
    <w:p>
      <w:pPr>
        <w:pStyle w:val="4"/>
        <w:numPr>
          <w:ilvl w:val="0"/>
          <w:numId w:val="6"/>
        </w:numPr>
        <w:rPr>
          <w:rFonts w:hint="eastAsia"/>
        </w:rPr>
      </w:pPr>
      <w:r>
        <w:t xml:space="preserve">  </w:t>
      </w:r>
      <w:r>
        <w:rPr>
          <w:rFonts w:hint="eastAsia"/>
        </w:rPr>
        <w:t>合同条款</w:t>
      </w:r>
    </w:p>
    <w:p>
      <w:pPr>
        <w:tabs>
          <w:tab w:val="center" w:pos="4819"/>
        </w:tabs>
        <w:spacing w:line="360" w:lineRule="auto"/>
        <w:jc w:val="center"/>
        <w:rPr>
          <w:rFonts w:hint="default" w:ascii="宋体" w:hAnsi="宋体" w:eastAsia="宋体" w:cs="Times New Roman"/>
          <w:b/>
          <w:color w:val="000000"/>
          <w:kern w:val="2"/>
          <w:sz w:val="32"/>
          <w:szCs w:val="21"/>
          <w:lang w:val="en-US" w:eastAsia="zh-CN" w:bidi="ar-SA"/>
        </w:rPr>
      </w:pPr>
      <w:r>
        <w:rPr>
          <w:rFonts w:hint="eastAsia" w:ascii="宋体" w:hAnsi="宋体" w:eastAsia="宋体" w:cs="Times New Roman"/>
          <w:b/>
          <w:color w:val="000000"/>
          <w:kern w:val="2"/>
          <w:sz w:val="32"/>
          <w:szCs w:val="21"/>
          <w:lang w:val="en-US" w:eastAsia="zh-CN" w:bidi="ar-SA"/>
        </w:rPr>
        <w:t>北京按摩医院职工体检服务项目</w:t>
      </w:r>
    </w:p>
    <w:p>
      <w:pPr>
        <w:pStyle w:val="2"/>
        <w:ind w:left="0" w:leftChars="0" w:firstLine="0" w:firstLineChars="0"/>
        <w:jc w:val="center"/>
        <w:rPr>
          <w:rFonts w:hint="eastAsia" w:eastAsia="宋体"/>
          <w:lang w:val="en-US" w:eastAsia="zh-CN"/>
        </w:rPr>
      </w:pPr>
      <w:r>
        <w:rPr>
          <w:rFonts w:hint="eastAsia" w:ascii="宋体" w:hAnsi="宋体"/>
          <w:b/>
          <w:color w:val="000000"/>
          <w:sz w:val="32"/>
          <w:szCs w:val="21"/>
          <w:lang w:val="en-US" w:eastAsia="zh-CN"/>
        </w:rPr>
        <w:t>（合同模板）</w:t>
      </w:r>
    </w:p>
    <w:p>
      <w:pPr>
        <w:pStyle w:val="2"/>
        <w:ind w:firstLine="6720" w:firstLineChars="3200"/>
        <w:rPr>
          <w:rFonts w:hint="default" w:eastAsia="宋体"/>
          <w:lang w:val="en-US" w:eastAsia="zh-CN"/>
        </w:rPr>
      </w:pPr>
      <w:r>
        <w:rPr>
          <w:rFonts w:hint="eastAsia"/>
          <w:lang w:val="en-US" w:eastAsia="zh-CN"/>
        </w:rPr>
        <w:t>编号：</w:t>
      </w:r>
    </w:p>
    <w:p>
      <w:pPr>
        <w:tabs>
          <w:tab w:val="center" w:pos="4819"/>
        </w:tabs>
        <w:spacing w:line="360" w:lineRule="auto"/>
        <w:jc w:val="center"/>
        <w:rPr>
          <w:rFonts w:ascii="宋体" w:hAnsi="宋体"/>
          <w:b/>
          <w:color w:val="000000"/>
          <w:sz w:val="32"/>
          <w:szCs w:val="21"/>
        </w:rPr>
      </w:pPr>
    </w:p>
    <w:p>
      <w:pPr>
        <w:widowControl/>
        <w:snapToGrid w:val="0"/>
        <w:spacing w:line="276" w:lineRule="auto"/>
        <w:jc w:val="left"/>
        <w:rPr>
          <w:rFonts w:hint="eastAsia" w:ascii="宋体" w:hAnsi="宋体" w:eastAsia="宋体" w:cs="Times New Roman"/>
          <w:b/>
          <w:color w:val="333333"/>
          <w:szCs w:val="21"/>
        </w:rPr>
      </w:pPr>
    </w:p>
    <w:p>
      <w:pPr>
        <w:snapToGrid w:val="0"/>
        <w:spacing w:line="276" w:lineRule="auto"/>
        <w:rPr>
          <w:rFonts w:ascii="宋体" w:hAnsi="宋体"/>
          <w:b/>
          <w:color w:val="333333"/>
          <w:szCs w:val="21"/>
        </w:rPr>
      </w:pPr>
      <w:r>
        <w:rPr>
          <w:rFonts w:ascii="宋体" w:hAnsi="宋体"/>
          <w:b/>
          <w:color w:val="333333"/>
          <w:szCs w:val="21"/>
        </w:rPr>
        <w:t>甲方：</w:t>
      </w:r>
      <w:r>
        <w:rPr>
          <w:rFonts w:hint="eastAsia" w:ascii="宋体" w:hAnsi="宋体"/>
          <w:b/>
          <w:color w:val="333333"/>
          <w:szCs w:val="21"/>
        </w:rPr>
        <w:t xml:space="preserve"> </w:t>
      </w:r>
    </w:p>
    <w:p>
      <w:pPr>
        <w:widowControl/>
        <w:snapToGrid w:val="0"/>
        <w:spacing w:line="276" w:lineRule="auto"/>
        <w:jc w:val="left"/>
        <w:rPr>
          <w:rFonts w:hint="eastAsia" w:ascii="宋体" w:hAnsi="宋体" w:eastAsia="宋体" w:cs="Times New Roman"/>
          <w:b/>
          <w:color w:val="333333"/>
          <w:szCs w:val="21"/>
          <w:lang w:val="en-US" w:eastAsia="zh-CN"/>
        </w:rPr>
      </w:pPr>
      <w:r>
        <w:rPr>
          <w:rFonts w:ascii="宋体" w:hAnsi="宋体"/>
          <w:b/>
          <w:color w:val="333333"/>
          <w:szCs w:val="21"/>
        </w:rPr>
        <w:t>地址：</w:t>
      </w:r>
      <w:r>
        <w:rPr>
          <w:rFonts w:hint="eastAsia" w:ascii="宋体" w:hAnsi="宋体"/>
          <w:b/>
          <w:color w:val="333333"/>
          <w:szCs w:val="21"/>
        </w:rPr>
        <w:t xml:space="preserve"> </w:t>
      </w:r>
    </w:p>
    <w:p>
      <w:pPr>
        <w:snapToGrid w:val="0"/>
        <w:spacing w:line="276" w:lineRule="auto"/>
        <w:rPr>
          <w:rFonts w:hint="eastAsia" w:ascii="宋体" w:hAnsi="宋体"/>
          <w:b/>
          <w:color w:val="333333"/>
          <w:szCs w:val="21"/>
        </w:rPr>
      </w:pPr>
    </w:p>
    <w:p>
      <w:pPr>
        <w:spacing w:line="276" w:lineRule="auto"/>
        <w:rPr>
          <w:rFonts w:ascii="宋体" w:hAnsi="宋体"/>
          <w:b/>
          <w:i/>
          <w:iCs/>
          <w:color w:val="333333"/>
          <w:szCs w:val="21"/>
        </w:rPr>
      </w:pPr>
      <w:r>
        <w:rPr>
          <w:rFonts w:ascii="宋体" w:hAnsi="宋体"/>
          <w:b/>
          <w:color w:val="333333"/>
          <w:szCs w:val="21"/>
        </w:rPr>
        <w:t>乙方：</w:t>
      </w:r>
    </w:p>
    <w:p>
      <w:pPr>
        <w:spacing w:line="360" w:lineRule="auto"/>
        <w:rPr>
          <w:rFonts w:hint="eastAsia" w:ascii="宋体" w:hAnsi="宋体"/>
          <w:b/>
          <w:bCs/>
          <w:color w:val="333333"/>
          <w:szCs w:val="21"/>
        </w:rPr>
      </w:pPr>
      <w:r>
        <w:rPr>
          <w:rFonts w:ascii="宋体" w:hAnsi="宋体"/>
          <w:b/>
          <w:color w:val="333333"/>
          <w:szCs w:val="21"/>
        </w:rPr>
        <w:t>地址：</w:t>
      </w:r>
    </w:p>
    <w:p>
      <w:pPr>
        <w:pStyle w:val="2"/>
        <w:ind w:left="0" w:leftChars="0" w:firstLine="0" w:firstLineChars="0"/>
        <w:rPr>
          <w:rFonts w:hint="eastAsia" w:ascii="宋体" w:hAnsi="宋体"/>
          <w:b/>
          <w:bCs/>
          <w:color w:val="333333"/>
          <w:szCs w:val="21"/>
        </w:rPr>
      </w:pPr>
    </w:p>
    <w:p>
      <w:pPr>
        <w:pStyle w:val="19"/>
        <w:pBdr>
          <w:bottom w:val="none" w:color="auto" w:sz="0" w:space="0"/>
        </w:pBdr>
        <w:snapToGrid/>
        <w:spacing w:before="156" w:beforeLines="50" w:line="360" w:lineRule="auto"/>
        <w:ind w:left="-284" w:firstLine="630" w:firstLineChars="300"/>
        <w:jc w:val="both"/>
        <w:rPr>
          <w:rFonts w:hint="eastAsia" w:ascii="宋体" w:hAnsi="宋体"/>
          <w:b/>
          <w:color w:val="000000"/>
          <w:sz w:val="21"/>
          <w:szCs w:val="21"/>
        </w:rPr>
      </w:pPr>
      <w:r>
        <w:rPr>
          <w:rFonts w:ascii="宋体" w:hAnsi="宋体"/>
          <w:color w:val="333333"/>
          <w:sz w:val="21"/>
          <w:szCs w:val="21"/>
        </w:rPr>
        <w:t>甲乙双方在相互了解、相互信任的基础上，本着平等合作、互惠互利的原则，经友好协商，</w:t>
      </w:r>
      <w:r>
        <w:rPr>
          <w:rFonts w:hint="eastAsia" w:ascii="宋体" w:hAnsi="宋体"/>
          <w:color w:val="333333"/>
          <w:sz w:val="21"/>
          <w:szCs w:val="21"/>
        </w:rPr>
        <w:t>于【】年【】月【】日</w:t>
      </w:r>
      <w:r>
        <w:rPr>
          <w:rFonts w:ascii="宋体" w:hAnsi="宋体"/>
          <w:color w:val="333333"/>
          <w:sz w:val="21"/>
          <w:szCs w:val="21"/>
        </w:rPr>
        <w:t>达成如下</w:t>
      </w:r>
      <w:r>
        <w:rPr>
          <w:rFonts w:hint="eastAsia" w:ascii="宋体" w:hAnsi="宋体"/>
          <w:color w:val="333333"/>
          <w:sz w:val="21"/>
          <w:szCs w:val="21"/>
        </w:rPr>
        <w:t>合作</w:t>
      </w:r>
      <w:r>
        <w:rPr>
          <w:rFonts w:ascii="宋体" w:hAnsi="宋体"/>
          <w:color w:val="333333"/>
          <w:sz w:val="21"/>
          <w:szCs w:val="21"/>
        </w:rPr>
        <w:t>协议：</w:t>
      </w:r>
    </w:p>
    <w:p>
      <w:pPr>
        <w:pStyle w:val="19"/>
        <w:numPr>
          <w:ilvl w:val="1"/>
          <w:numId w:val="7"/>
        </w:numPr>
        <w:pBdr>
          <w:bottom w:val="none" w:color="auto" w:sz="0" w:space="0"/>
        </w:pBdr>
        <w:tabs>
          <w:tab w:val="clear" w:pos="4153"/>
          <w:tab w:val="clear" w:pos="8306"/>
        </w:tabs>
        <w:snapToGrid/>
        <w:spacing w:before="156" w:beforeLines="50" w:line="360" w:lineRule="auto"/>
        <w:ind w:hanging="704"/>
        <w:jc w:val="both"/>
        <w:rPr>
          <w:rFonts w:hint="eastAsia" w:ascii="宋体" w:hAnsi="宋体"/>
          <w:b/>
          <w:color w:val="000000"/>
          <w:sz w:val="21"/>
          <w:szCs w:val="21"/>
        </w:rPr>
      </w:pPr>
      <w:r>
        <w:rPr>
          <w:rFonts w:hint="eastAsia" w:ascii="宋体" w:hAnsi="宋体"/>
          <w:b/>
          <w:color w:val="000000"/>
          <w:sz w:val="21"/>
          <w:szCs w:val="21"/>
        </w:rPr>
        <w:t>合作内容</w:t>
      </w:r>
    </w:p>
    <w:p>
      <w:pPr>
        <w:numPr>
          <w:ilvl w:val="1"/>
          <w:numId w:val="8"/>
        </w:numPr>
        <w:spacing w:line="360" w:lineRule="auto"/>
        <w:outlineLvl w:val="0"/>
        <w:rPr>
          <w:rFonts w:hint="eastAsia" w:ascii="宋体" w:hAnsi="宋体"/>
          <w:bCs/>
          <w:color w:val="000000"/>
          <w:szCs w:val="21"/>
        </w:rPr>
      </w:pPr>
      <w:r>
        <w:rPr>
          <w:rFonts w:hint="eastAsia" w:ascii="宋体" w:hAnsi="宋体"/>
          <w:bCs/>
          <w:color w:val="000000"/>
          <w:szCs w:val="21"/>
        </w:rPr>
        <w:t>甲方同意由</w:t>
      </w:r>
      <w:r>
        <w:rPr>
          <w:rFonts w:ascii="宋体" w:hAnsi="宋体"/>
          <w:bCs/>
          <w:color w:val="000000"/>
          <w:szCs w:val="21"/>
        </w:rPr>
        <w:t>乙方为甲方</w:t>
      </w:r>
      <w:r>
        <w:rPr>
          <w:rFonts w:ascii="宋体" w:hAnsi="宋体"/>
          <w:bCs/>
          <w:color w:val="333333"/>
          <w:szCs w:val="21"/>
        </w:rPr>
        <w:t>员工</w:t>
      </w:r>
      <w:r>
        <w:rPr>
          <w:rFonts w:ascii="宋体" w:hAnsi="宋体"/>
          <w:bCs/>
          <w:color w:val="000000"/>
          <w:szCs w:val="21"/>
        </w:rPr>
        <w:t>提供健康体检服务</w:t>
      </w:r>
      <w:r>
        <w:rPr>
          <w:rFonts w:hint="eastAsia" w:ascii="宋体" w:hAnsi="宋体"/>
          <w:bCs/>
          <w:color w:val="000000"/>
          <w:szCs w:val="21"/>
        </w:rPr>
        <w:t xml:space="preserve">； </w:t>
      </w:r>
    </w:p>
    <w:p>
      <w:pPr>
        <w:numPr>
          <w:ilvl w:val="1"/>
          <w:numId w:val="8"/>
        </w:numPr>
        <w:spacing w:line="360" w:lineRule="auto"/>
        <w:outlineLvl w:val="0"/>
        <w:rPr>
          <w:rFonts w:hint="eastAsia" w:ascii="宋体" w:hAnsi="宋体" w:eastAsia="宋体" w:cs="Times New Roman"/>
          <w:bCs/>
          <w:color w:val="000000"/>
          <w:szCs w:val="21"/>
        </w:rPr>
      </w:pPr>
      <w:r>
        <w:rPr>
          <w:rFonts w:hint="eastAsia" w:ascii="宋体" w:hAnsi="宋体" w:eastAsia="宋体" w:cs="Times New Roman"/>
          <w:bCs/>
          <w:color w:val="000000"/>
          <w:szCs w:val="21"/>
        </w:rPr>
        <w:t>甲方员工预计总体检人数为【】人，其中男性【】人，女性【】人；</w:t>
      </w:r>
    </w:p>
    <w:p>
      <w:pPr>
        <w:numPr>
          <w:ilvl w:val="1"/>
          <w:numId w:val="8"/>
        </w:numPr>
        <w:spacing w:line="360" w:lineRule="auto"/>
        <w:outlineLvl w:val="0"/>
        <w:rPr>
          <w:rFonts w:hint="eastAsia" w:ascii="宋体" w:hAnsi="宋体"/>
          <w:bCs/>
          <w:color w:val="000000"/>
          <w:szCs w:val="21"/>
        </w:rPr>
      </w:pPr>
      <w:r>
        <w:rPr>
          <w:rFonts w:hint="eastAsia" w:ascii="宋体" w:hAnsi="宋体" w:eastAsia="宋体" w:cs="Times New Roman"/>
          <w:bCs/>
          <w:color w:val="000000"/>
          <w:szCs w:val="21"/>
        </w:rPr>
        <w:t>本协议项下的体检费含税总金额为人</w:t>
      </w:r>
      <w:r>
        <w:rPr>
          <w:rFonts w:hint="eastAsia" w:ascii="宋体" w:hAnsi="宋体" w:eastAsia="宋体" w:cs="Times New Roman"/>
          <w:bCs/>
          <w:color w:val="000000"/>
          <w:szCs w:val="21"/>
          <w:highlight w:val="none"/>
        </w:rPr>
        <w:t>民币【】元整（￥【】元 ）（下简称</w:t>
      </w:r>
      <w:r>
        <w:rPr>
          <w:rFonts w:hint="eastAsia" w:ascii="宋体" w:hAnsi="宋体"/>
          <w:bCs/>
          <w:color w:val="000000"/>
          <w:szCs w:val="21"/>
          <w:highlight w:val="none"/>
        </w:rPr>
        <w:t>“协议金额”）。甲乙双方同意在体检结束后按照实际体检</w:t>
      </w:r>
      <w:r>
        <w:rPr>
          <w:rFonts w:hint="eastAsia" w:ascii="宋体" w:hAnsi="宋体"/>
          <w:bCs/>
          <w:color w:val="000000"/>
          <w:szCs w:val="21"/>
          <w:highlight w:val="none"/>
          <w:lang w:val="en-US" w:eastAsia="zh-CN"/>
        </w:rPr>
        <w:t>类别和</w:t>
      </w:r>
      <w:r>
        <w:rPr>
          <w:rFonts w:hint="eastAsia" w:ascii="宋体" w:hAnsi="宋体"/>
          <w:bCs/>
          <w:color w:val="000000"/>
          <w:szCs w:val="21"/>
          <w:highlight w:val="none"/>
        </w:rPr>
        <w:t>人数</w:t>
      </w:r>
      <w:r>
        <w:rPr>
          <w:rFonts w:hint="eastAsia" w:ascii="宋体" w:hAnsi="宋体"/>
          <w:bCs/>
          <w:color w:val="000000"/>
          <w:szCs w:val="21"/>
        </w:rPr>
        <w:t>进行结算：</w:t>
      </w:r>
    </w:p>
    <w:p>
      <w:pPr>
        <w:pStyle w:val="19"/>
        <w:numPr>
          <w:ilvl w:val="1"/>
          <w:numId w:val="7"/>
        </w:numPr>
        <w:pBdr>
          <w:bottom w:val="none" w:color="auto" w:sz="0" w:space="0"/>
        </w:pBdr>
        <w:tabs>
          <w:tab w:val="clear" w:pos="4153"/>
          <w:tab w:val="clear" w:pos="8306"/>
        </w:tabs>
        <w:snapToGrid/>
        <w:spacing w:before="156" w:beforeLines="50" w:line="360" w:lineRule="auto"/>
        <w:ind w:hanging="704"/>
        <w:jc w:val="both"/>
        <w:rPr>
          <w:rFonts w:hint="eastAsia" w:ascii="宋体" w:hAnsi="宋体"/>
          <w:b/>
          <w:color w:val="000000"/>
          <w:sz w:val="21"/>
          <w:szCs w:val="21"/>
        </w:rPr>
      </w:pPr>
      <w:r>
        <w:rPr>
          <w:rFonts w:hint="eastAsia" w:ascii="宋体" w:hAnsi="宋体"/>
          <w:b/>
          <w:color w:val="000000"/>
          <w:sz w:val="21"/>
          <w:szCs w:val="21"/>
        </w:rPr>
        <w:t>体检时间</w:t>
      </w:r>
    </w:p>
    <w:p>
      <w:pPr>
        <w:pStyle w:val="19"/>
        <w:numPr>
          <w:ilvl w:val="1"/>
          <w:numId w:val="9"/>
        </w:numPr>
        <w:pBdr>
          <w:bottom w:val="none" w:color="auto" w:sz="0" w:space="0"/>
        </w:pBdr>
        <w:tabs>
          <w:tab w:val="clear" w:pos="4153"/>
          <w:tab w:val="clear" w:pos="8306"/>
        </w:tabs>
        <w:snapToGrid/>
        <w:spacing w:before="156" w:beforeLines="50" w:line="360" w:lineRule="auto"/>
        <w:jc w:val="both"/>
        <w:rPr>
          <w:rFonts w:hint="eastAsia" w:ascii="宋体" w:hAnsi="宋体"/>
          <w:bCs/>
          <w:color w:val="000000"/>
          <w:sz w:val="21"/>
          <w:szCs w:val="21"/>
        </w:rPr>
      </w:pPr>
      <w:r>
        <w:rPr>
          <w:rFonts w:hint="eastAsia" w:ascii="宋体" w:hAnsi="宋体"/>
          <w:bCs/>
          <w:color w:val="000000"/>
          <w:sz w:val="21"/>
          <w:szCs w:val="21"/>
        </w:rPr>
        <w:t>甲乙双方确定的集中体检时间为：</w:t>
      </w:r>
      <w:r>
        <w:rPr>
          <w:rFonts w:hint="eastAsia" w:ascii="楷体_GB2312" w:eastAsia="楷体_GB2312"/>
          <w:color w:val="000000"/>
          <w:sz w:val="21"/>
          <w:szCs w:val="21"/>
        </w:rPr>
        <w:t>【】</w:t>
      </w:r>
      <w:r>
        <w:rPr>
          <w:rFonts w:hint="eastAsia" w:ascii="宋体" w:hAnsi="宋体"/>
          <w:bCs/>
          <w:color w:val="000000"/>
          <w:sz w:val="21"/>
          <w:szCs w:val="21"/>
        </w:rPr>
        <w:t>年</w:t>
      </w:r>
      <w:r>
        <w:rPr>
          <w:rFonts w:hint="eastAsia" w:ascii="楷体_GB2312" w:eastAsia="楷体_GB2312"/>
          <w:color w:val="000000"/>
          <w:sz w:val="21"/>
          <w:szCs w:val="21"/>
        </w:rPr>
        <w:t>【】</w:t>
      </w:r>
      <w:r>
        <w:rPr>
          <w:rFonts w:hint="eastAsia" w:ascii="宋体" w:hAnsi="宋体"/>
          <w:bCs/>
          <w:color w:val="000000"/>
          <w:sz w:val="21"/>
          <w:szCs w:val="21"/>
        </w:rPr>
        <w:t>月</w:t>
      </w:r>
      <w:r>
        <w:rPr>
          <w:rFonts w:hint="eastAsia" w:ascii="楷体_GB2312" w:eastAsia="楷体_GB2312"/>
          <w:color w:val="000000"/>
          <w:sz w:val="21"/>
          <w:szCs w:val="21"/>
        </w:rPr>
        <w:t>【】</w:t>
      </w:r>
      <w:r>
        <w:rPr>
          <w:rFonts w:hint="eastAsia" w:ascii="宋体" w:hAnsi="宋体"/>
          <w:bCs/>
          <w:color w:val="000000"/>
          <w:sz w:val="21"/>
          <w:szCs w:val="21"/>
        </w:rPr>
        <w:t>日到</w:t>
      </w:r>
      <w:r>
        <w:rPr>
          <w:rFonts w:hint="eastAsia" w:ascii="楷体_GB2312" w:eastAsia="楷体_GB2312"/>
          <w:color w:val="000000"/>
          <w:sz w:val="21"/>
          <w:szCs w:val="21"/>
        </w:rPr>
        <w:t>【】</w:t>
      </w:r>
      <w:r>
        <w:rPr>
          <w:rFonts w:hint="eastAsia" w:ascii="宋体" w:hAnsi="宋体"/>
          <w:bCs/>
          <w:color w:val="000000"/>
          <w:sz w:val="21"/>
          <w:szCs w:val="21"/>
        </w:rPr>
        <w:t>年</w:t>
      </w:r>
      <w:r>
        <w:rPr>
          <w:rFonts w:hint="eastAsia" w:ascii="楷体_GB2312" w:eastAsia="楷体_GB2312"/>
          <w:color w:val="000000"/>
          <w:sz w:val="21"/>
          <w:szCs w:val="21"/>
        </w:rPr>
        <w:t>【】</w:t>
      </w:r>
      <w:r>
        <w:rPr>
          <w:rFonts w:hint="eastAsia" w:ascii="宋体" w:hAnsi="宋体"/>
          <w:bCs/>
          <w:color w:val="000000"/>
          <w:sz w:val="21"/>
          <w:szCs w:val="21"/>
        </w:rPr>
        <w:t>月</w:t>
      </w:r>
      <w:r>
        <w:rPr>
          <w:rFonts w:hint="eastAsia" w:ascii="楷体_GB2312" w:eastAsia="楷体_GB2312"/>
          <w:color w:val="000000"/>
          <w:sz w:val="21"/>
          <w:szCs w:val="21"/>
        </w:rPr>
        <w:t>【】</w:t>
      </w:r>
      <w:r>
        <w:rPr>
          <w:rFonts w:hint="eastAsia" w:ascii="宋体" w:hAnsi="宋体"/>
          <w:bCs/>
          <w:color w:val="000000"/>
          <w:sz w:val="21"/>
          <w:szCs w:val="21"/>
        </w:rPr>
        <w:t>日；甲方应组织其</w:t>
      </w:r>
      <w:r>
        <w:rPr>
          <w:rFonts w:ascii="宋体" w:hAnsi="宋体"/>
          <w:bCs/>
          <w:color w:val="333333"/>
          <w:sz w:val="21"/>
          <w:szCs w:val="21"/>
        </w:rPr>
        <w:t>员工</w:t>
      </w:r>
      <w:r>
        <w:rPr>
          <w:rFonts w:hint="eastAsia" w:ascii="宋体" w:hAnsi="宋体"/>
          <w:bCs/>
          <w:color w:val="000000"/>
          <w:sz w:val="21"/>
          <w:szCs w:val="21"/>
        </w:rPr>
        <w:t>于指定时间参加体检。如超过以上时间仍未体检的，均视为放弃体检，乙方将不再提供体检服务。</w:t>
      </w:r>
    </w:p>
    <w:p>
      <w:pPr>
        <w:pStyle w:val="19"/>
        <w:numPr>
          <w:ilvl w:val="1"/>
          <w:numId w:val="9"/>
        </w:numPr>
        <w:pBdr>
          <w:bottom w:val="none" w:color="auto" w:sz="0" w:space="0"/>
        </w:pBdr>
        <w:tabs>
          <w:tab w:val="clear" w:pos="4153"/>
          <w:tab w:val="clear" w:pos="8306"/>
        </w:tabs>
        <w:snapToGrid/>
        <w:spacing w:before="156" w:beforeLines="50" w:line="360" w:lineRule="auto"/>
        <w:jc w:val="both"/>
        <w:rPr>
          <w:rFonts w:hint="eastAsia" w:ascii="宋体" w:hAnsi="宋体"/>
          <w:bCs/>
          <w:color w:val="000000"/>
          <w:sz w:val="21"/>
          <w:szCs w:val="21"/>
          <w:highlight w:val="none"/>
        </w:rPr>
      </w:pPr>
      <w:r>
        <w:rPr>
          <w:rFonts w:hint="eastAsia" w:ascii="宋体" w:hAnsi="宋体"/>
          <w:bCs/>
          <w:color w:val="000000"/>
          <w:sz w:val="21"/>
          <w:szCs w:val="21"/>
          <w:highlight w:val="none"/>
          <w:lang w:val="en-US" w:eastAsia="zh-CN"/>
        </w:rPr>
        <w:t>甲方确定</w:t>
      </w:r>
      <w:r>
        <w:rPr>
          <w:rFonts w:hint="eastAsia" w:ascii="宋体" w:hAnsi="宋体"/>
          <w:bCs/>
          <w:color w:val="000000"/>
          <w:sz w:val="21"/>
          <w:szCs w:val="21"/>
          <w:highlight w:val="none"/>
          <w:u w:val="single"/>
          <w:lang w:val="en-US" w:eastAsia="zh-CN"/>
        </w:rPr>
        <w:t xml:space="preserve">    </w:t>
      </w:r>
      <w:r>
        <w:rPr>
          <w:rFonts w:hint="eastAsia" w:ascii="宋体" w:hAnsi="宋体"/>
          <w:bCs/>
          <w:color w:val="000000"/>
          <w:sz w:val="21"/>
          <w:szCs w:val="21"/>
          <w:highlight w:val="none"/>
          <w:lang w:val="en-US" w:eastAsia="zh-CN"/>
        </w:rPr>
        <w:t>上午半</w:t>
      </w:r>
      <w:r>
        <w:rPr>
          <w:rFonts w:hint="eastAsia" w:ascii="宋体" w:hAnsi="宋体"/>
          <w:bCs/>
          <w:color w:val="000000"/>
          <w:sz w:val="21"/>
          <w:szCs w:val="21"/>
          <w:highlight w:val="none"/>
          <w:lang w:val="zh-CN" w:eastAsia="zh-CN"/>
        </w:rPr>
        <w:t>天专场服务（周六、周日均可）</w:t>
      </w:r>
      <w:r>
        <w:rPr>
          <w:rFonts w:hint="eastAsia" w:ascii="宋体" w:hAnsi="宋体"/>
          <w:bCs/>
          <w:color w:val="000000"/>
          <w:sz w:val="21"/>
          <w:szCs w:val="21"/>
          <w:highlight w:val="none"/>
          <w:lang w:val="en-US" w:eastAsia="zh-CN"/>
        </w:rPr>
        <w:t>时间为：</w:t>
      </w:r>
      <w:r>
        <w:rPr>
          <w:rFonts w:hint="eastAsia" w:ascii="楷体_GB2312" w:eastAsia="楷体_GB2312"/>
          <w:color w:val="000000"/>
          <w:sz w:val="21"/>
          <w:szCs w:val="21"/>
          <w:highlight w:val="none"/>
        </w:rPr>
        <w:t>【】</w:t>
      </w:r>
      <w:r>
        <w:rPr>
          <w:rFonts w:hint="eastAsia" w:ascii="宋体" w:hAnsi="宋体"/>
          <w:bCs/>
          <w:color w:val="000000"/>
          <w:sz w:val="21"/>
          <w:szCs w:val="21"/>
          <w:highlight w:val="none"/>
        </w:rPr>
        <w:t>年</w:t>
      </w:r>
      <w:r>
        <w:rPr>
          <w:rFonts w:hint="eastAsia" w:ascii="楷体_GB2312" w:eastAsia="楷体_GB2312"/>
          <w:color w:val="000000"/>
          <w:sz w:val="21"/>
          <w:szCs w:val="21"/>
          <w:highlight w:val="none"/>
        </w:rPr>
        <w:t>【】</w:t>
      </w:r>
      <w:r>
        <w:rPr>
          <w:rFonts w:hint="eastAsia" w:ascii="宋体" w:hAnsi="宋体"/>
          <w:bCs/>
          <w:color w:val="000000"/>
          <w:sz w:val="21"/>
          <w:szCs w:val="21"/>
          <w:highlight w:val="none"/>
        </w:rPr>
        <w:t>月</w:t>
      </w:r>
      <w:r>
        <w:rPr>
          <w:rFonts w:hint="eastAsia" w:ascii="楷体_GB2312" w:eastAsia="楷体_GB2312"/>
          <w:color w:val="000000"/>
          <w:sz w:val="21"/>
          <w:szCs w:val="21"/>
          <w:highlight w:val="none"/>
        </w:rPr>
        <w:t>【】</w:t>
      </w:r>
      <w:r>
        <w:rPr>
          <w:rFonts w:hint="eastAsia" w:ascii="宋体" w:hAnsi="宋体"/>
          <w:bCs/>
          <w:color w:val="000000"/>
          <w:sz w:val="21"/>
          <w:szCs w:val="21"/>
          <w:highlight w:val="none"/>
        </w:rPr>
        <w:t>日</w:t>
      </w:r>
      <w:r>
        <w:rPr>
          <w:rFonts w:hint="eastAsia" w:ascii="宋体" w:hAnsi="宋体"/>
          <w:bCs/>
          <w:color w:val="000000"/>
          <w:sz w:val="21"/>
          <w:szCs w:val="21"/>
          <w:highlight w:val="none"/>
          <w:lang w:eastAsia="zh-CN"/>
        </w:rPr>
        <w:t>，</w:t>
      </w:r>
      <w:r>
        <w:rPr>
          <w:rFonts w:hint="eastAsia" w:ascii="宋体" w:hAnsi="宋体"/>
          <w:bCs/>
          <w:color w:val="000000"/>
          <w:sz w:val="21"/>
          <w:szCs w:val="21"/>
          <w:highlight w:val="none"/>
          <w:lang w:val="en-US" w:eastAsia="zh-CN"/>
        </w:rPr>
        <w:t>当天</w:t>
      </w:r>
      <w:r>
        <w:rPr>
          <w:rFonts w:hint="eastAsia" w:ascii="宋体" w:hAnsi="宋体"/>
          <w:bCs/>
          <w:color w:val="000000"/>
          <w:sz w:val="21"/>
          <w:szCs w:val="21"/>
          <w:highlight w:val="none"/>
          <w:lang w:val="zh-CN" w:eastAsia="zh-CN"/>
        </w:rPr>
        <w:t>无外单位人员参与专场体检，专场体检日，</w:t>
      </w:r>
      <w:r>
        <w:rPr>
          <w:rFonts w:hint="eastAsia" w:ascii="宋体" w:hAnsi="宋体"/>
          <w:bCs/>
          <w:color w:val="000000"/>
          <w:sz w:val="21"/>
          <w:szCs w:val="21"/>
          <w:highlight w:val="none"/>
          <w:lang w:val="en-US" w:eastAsia="zh-CN"/>
        </w:rPr>
        <w:t>双院区</w:t>
      </w:r>
      <w:r>
        <w:rPr>
          <w:rFonts w:hint="eastAsia" w:ascii="宋体" w:hAnsi="宋体"/>
          <w:bCs/>
          <w:color w:val="000000"/>
          <w:sz w:val="21"/>
          <w:szCs w:val="21"/>
          <w:highlight w:val="none"/>
          <w:lang w:val="zh-CN" w:eastAsia="zh-CN"/>
        </w:rPr>
        <w:t>安排专车接送。</w:t>
      </w:r>
    </w:p>
    <w:p>
      <w:pPr>
        <w:pStyle w:val="19"/>
        <w:numPr>
          <w:ilvl w:val="1"/>
          <w:numId w:val="7"/>
        </w:numPr>
        <w:pBdr>
          <w:bottom w:val="none" w:color="auto" w:sz="0" w:space="0"/>
        </w:pBdr>
        <w:tabs>
          <w:tab w:val="clear" w:pos="4153"/>
          <w:tab w:val="clear" w:pos="8306"/>
        </w:tabs>
        <w:snapToGrid/>
        <w:spacing w:before="156" w:beforeLines="50" w:line="360" w:lineRule="auto"/>
        <w:ind w:hanging="704"/>
        <w:jc w:val="both"/>
        <w:rPr>
          <w:rFonts w:hint="eastAsia" w:ascii="宋体" w:hAnsi="宋体"/>
          <w:b/>
          <w:color w:val="000000"/>
          <w:sz w:val="21"/>
          <w:szCs w:val="21"/>
        </w:rPr>
      </w:pPr>
      <w:r>
        <w:rPr>
          <w:rFonts w:hint="eastAsia" w:ascii="宋体" w:hAnsi="宋体"/>
          <w:b/>
          <w:color w:val="000000"/>
          <w:sz w:val="21"/>
          <w:szCs w:val="21"/>
        </w:rPr>
        <w:t>费用与结算</w:t>
      </w:r>
    </w:p>
    <w:p>
      <w:pPr>
        <w:pStyle w:val="19"/>
        <w:numPr>
          <w:ilvl w:val="1"/>
          <w:numId w:val="10"/>
        </w:numPr>
        <w:pBdr>
          <w:bottom w:val="none" w:color="auto" w:sz="0" w:space="0"/>
        </w:pBdr>
        <w:tabs>
          <w:tab w:val="clear" w:pos="4153"/>
          <w:tab w:val="clear" w:pos="8306"/>
        </w:tabs>
        <w:snapToGrid/>
        <w:spacing w:before="156" w:beforeLines="50" w:line="360" w:lineRule="auto"/>
        <w:jc w:val="both"/>
        <w:rPr>
          <w:rFonts w:hint="eastAsia" w:ascii="宋体" w:hAnsi="宋体"/>
          <w:bCs/>
          <w:color w:val="000000"/>
          <w:sz w:val="21"/>
          <w:szCs w:val="21"/>
        </w:rPr>
      </w:pPr>
      <w:r>
        <w:rPr>
          <w:rFonts w:hint="eastAsia" w:ascii="宋体" w:hAnsi="宋体"/>
          <w:bCs/>
          <w:color w:val="000000"/>
          <w:sz w:val="21"/>
          <w:szCs w:val="21"/>
        </w:rPr>
        <w:t>甲方员工健康体检服务费由甲方统一结算。</w:t>
      </w:r>
    </w:p>
    <w:p>
      <w:pPr>
        <w:pStyle w:val="19"/>
        <w:numPr>
          <w:ilvl w:val="1"/>
          <w:numId w:val="10"/>
        </w:numPr>
        <w:pBdr>
          <w:bottom w:val="none" w:color="auto" w:sz="0" w:space="0"/>
        </w:pBdr>
        <w:tabs>
          <w:tab w:val="clear" w:pos="4153"/>
          <w:tab w:val="clear" w:pos="8306"/>
        </w:tabs>
        <w:snapToGrid/>
        <w:spacing w:before="156" w:beforeLines="50" w:line="360" w:lineRule="auto"/>
        <w:jc w:val="both"/>
        <w:rPr>
          <w:rFonts w:hint="eastAsia" w:ascii="宋体" w:hAnsi="宋体"/>
          <w:bCs/>
          <w:color w:val="000000"/>
          <w:sz w:val="21"/>
          <w:szCs w:val="21"/>
        </w:rPr>
      </w:pPr>
      <w:r>
        <w:rPr>
          <w:rFonts w:hint="eastAsia" w:ascii="宋体" w:hAnsi="宋体"/>
          <w:bCs/>
          <w:color w:val="000000"/>
          <w:sz w:val="21"/>
          <w:szCs w:val="21"/>
        </w:rPr>
        <w:t>预付款：甲方于【】年【】月【】日前支付协议总金额的【】作为预付款，即人民币【】元整（￥【】元 ）。</w:t>
      </w:r>
    </w:p>
    <w:p>
      <w:pPr>
        <w:pStyle w:val="19"/>
        <w:numPr>
          <w:ilvl w:val="1"/>
          <w:numId w:val="10"/>
        </w:numPr>
        <w:pBdr>
          <w:bottom w:val="none" w:color="auto" w:sz="0" w:space="0"/>
        </w:pBdr>
        <w:tabs>
          <w:tab w:val="clear" w:pos="4153"/>
          <w:tab w:val="clear" w:pos="8306"/>
        </w:tabs>
        <w:snapToGrid/>
        <w:spacing w:before="156" w:beforeLines="50" w:line="360" w:lineRule="auto"/>
        <w:jc w:val="both"/>
        <w:rPr>
          <w:rFonts w:hint="eastAsia" w:ascii="宋体" w:hAnsi="宋体"/>
          <w:bCs/>
          <w:color w:val="000000"/>
          <w:sz w:val="21"/>
          <w:szCs w:val="21"/>
        </w:rPr>
      </w:pPr>
      <w:r>
        <w:rPr>
          <w:rFonts w:hint="eastAsia" w:ascii="宋体" w:hAnsi="宋体"/>
          <w:bCs/>
          <w:color w:val="000000"/>
          <w:sz w:val="21"/>
          <w:szCs w:val="21"/>
        </w:rPr>
        <w:t xml:space="preserve">结算：甲方按□月 </w:t>
      </w:r>
      <w:r>
        <w:rPr>
          <w:rFonts w:hint="eastAsia" w:ascii="宋体" w:hAnsi="宋体"/>
          <w:bCs/>
          <w:color w:val="000000"/>
          <w:sz w:val="21"/>
          <w:szCs w:val="21"/>
        </w:rPr>
        <w:sym w:font="Wingdings 2" w:char="00A3"/>
      </w:r>
      <w:r>
        <w:rPr>
          <w:rFonts w:hint="eastAsia" w:ascii="宋体" w:hAnsi="宋体"/>
          <w:bCs/>
          <w:color w:val="000000"/>
          <w:sz w:val="21"/>
          <w:szCs w:val="21"/>
        </w:rPr>
        <w:t xml:space="preserve">季根据实际体检人次结算并支付费用，结算支付日为□月 </w:t>
      </w:r>
      <w:r>
        <w:rPr>
          <w:rFonts w:hint="eastAsia" w:ascii="宋体" w:hAnsi="宋体"/>
          <w:bCs/>
          <w:color w:val="000000"/>
          <w:sz w:val="21"/>
          <w:szCs w:val="21"/>
        </w:rPr>
        <w:sym w:font="Wingdings 2" w:char="00A3"/>
      </w:r>
      <w:r>
        <w:rPr>
          <w:rFonts w:hint="eastAsia" w:ascii="宋体" w:hAnsi="宋体"/>
          <w:bCs/>
          <w:color w:val="000000"/>
          <w:sz w:val="21"/>
          <w:szCs w:val="21"/>
        </w:rPr>
        <w:t>季末后的【10】个工作日；并于上述第2.1条约定的集中体检服务截止后的【10】个工作日内，按第1.3条约定支付结算余款。如对部分数据存在争议，则不影响其他部分的结算及支付。</w:t>
      </w:r>
    </w:p>
    <w:p>
      <w:pPr>
        <w:pStyle w:val="19"/>
        <w:numPr>
          <w:ilvl w:val="1"/>
          <w:numId w:val="10"/>
        </w:numPr>
        <w:pBdr>
          <w:bottom w:val="none" w:color="auto" w:sz="0" w:space="0"/>
        </w:pBdr>
        <w:tabs>
          <w:tab w:val="clear" w:pos="4153"/>
          <w:tab w:val="clear" w:pos="8306"/>
        </w:tabs>
        <w:snapToGrid/>
        <w:spacing w:before="156" w:beforeLines="50" w:line="360" w:lineRule="auto"/>
        <w:jc w:val="both"/>
        <w:rPr>
          <w:rFonts w:ascii="宋体" w:hAnsi="宋体"/>
          <w:bCs/>
          <w:color w:val="000000"/>
          <w:sz w:val="21"/>
          <w:szCs w:val="21"/>
        </w:rPr>
      </w:pPr>
      <w:r>
        <w:rPr>
          <w:rFonts w:hint="eastAsia" w:ascii="宋体" w:hAnsi="宋体"/>
          <w:bCs/>
          <w:color w:val="000000"/>
          <w:sz w:val="21"/>
          <w:szCs w:val="21"/>
        </w:rPr>
        <w:t>甲方</w:t>
      </w:r>
      <w:r>
        <w:rPr>
          <w:rFonts w:ascii="宋体" w:hAnsi="宋体"/>
          <w:bCs/>
          <w:color w:val="000000"/>
          <w:sz w:val="21"/>
          <w:szCs w:val="21"/>
        </w:rPr>
        <w:t>可采用银行转账或支票支付形式</w:t>
      </w:r>
      <w:r>
        <w:rPr>
          <w:rFonts w:hint="eastAsia" w:ascii="宋体" w:hAnsi="宋体"/>
          <w:bCs/>
          <w:color w:val="000000"/>
          <w:sz w:val="21"/>
          <w:szCs w:val="21"/>
        </w:rPr>
        <w:t>将款项支付至如下乙方账户。若甲方委托第三方向乙方付款，则甲方应提前书面告知乙方，且向乙方出具书面的代付款说明。</w:t>
      </w:r>
    </w:p>
    <w:p>
      <w:pPr>
        <w:pStyle w:val="19"/>
        <w:pBdr>
          <w:bottom w:val="none" w:color="auto" w:sz="0" w:space="0"/>
        </w:pBdr>
        <w:tabs>
          <w:tab w:val="clear" w:pos="4153"/>
          <w:tab w:val="clear" w:pos="8306"/>
        </w:tabs>
        <w:snapToGrid/>
        <w:spacing w:before="156" w:beforeLines="50" w:line="360" w:lineRule="auto"/>
        <w:ind w:left="360"/>
        <w:jc w:val="both"/>
        <w:rPr>
          <w:rFonts w:hint="eastAsia" w:ascii="宋体" w:hAnsi="宋体"/>
          <w:bCs/>
          <w:color w:val="000000"/>
          <w:sz w:val="21"/>
          <w:szCs w:val="21"/>
        </w:rPr>
      </w:pPr>
      <w:r>
        <w:rPr>
          <w:rFonts w:hint="eastAsia" w:ascii="宋体" w:hAnsi="宋体"/>
          <w:bCs/>
          <w:color w:val="000000"/>
          <w:sz w:val="21"/>
          <w:szCs w:val="21"/>
        </w:rPr>
        <w:t>乙方：</w:t>
      </w:r>
    </w:p>
    <w:p>
      <w:pPr>
        <w:pStyle w:val="19"/>
        <w:pBdr>
          <w:bottom w:val="none" w:color="auto" w:sz="0" w:space="0"/>
        </w:pBdr>
        <w:tabs>
          <w:tab w:val="clear" w:pos="4153"/>
          <w:tab w:val="clear" w:pos="8306"/>
        </w:tabs>
        <w:snapToGrid/>
        <w:spacing w:before="156" w:beforeLines="50" w:line="360" w:lineRule="auto"/>
        <w:ind w:left="360"/>
        <w:jc w:val="both"/>
        <w:rPr>
          <w:rFonts w:hint="eastAsia" w:ascii="宋体" w:hAnsi="宋体"/>
          <w:bCs/>
          <w:color w:val="000000"/>
          <w:sz w:val="21"/>
          <w:szCs w:val="21"/>
        </w:rPr>
      </w:pPr>
      <w:r>
        <w:rPr>
          <w:rFonts w:hint="eastAsia" w:ascii="宋体" w:hAnsi="宋体"/>
          <w:bCs/>
          <w:color w:val="000000"/>
          <w:sz w:val="21"/>
          <w:szCs w:val="21"/>
        </w:rPr>
        <w:t>乙方开户行：</w:t>
      </w:r>
    </w:p>
    <w:p>
      <w:pPr>
        <w:pStyle w:val="19"/>
        <w:pBdr>
          <w:bottom w:val="none" w:color="auto" w:sz="0" w:space="0"/>
        </w:pBdr>
        <w:tabs>
          <w:tab w:val="clear" w:pos="4153"/>
          <w:tab w:val="clear" w:pos="8306"/>
        </w:tabs>
        <w:snapToGrid/>
        <w:spacing w:before="156" w:beforeLines="50" w:line="360" w:lineRule="auto"/>
        <w:ind w:left="360"/>
        <w:jc w:val="both"/>
        <w:rPr>
          <w:rFonts w:hint="eastAsia" w:ascii="宋体" w:hAnsi="宋体"/>
          <w:bCs/>
          <w:color w:val="000000"/>
          <w:sz w:val="21"/>
          <w:szCs w:val="21"/>
        </w:rPr>
      </w:pPr>
      <w:r>
        <w:rPr>
          <w:rFonts w:hint="eastAsia" w:ascii="宋体" w:hAnsi="宋体"/>
          <w:bCs/>
          <w:color w:val="000000"/>
          <w:sz w:val="21"/>
          <w:szCs w:val="21"/>
        </w:rPr>
        <w:t>银行账号：</w:t>
      </w:r>
    </w:p>
    <w:p>
      <w:pPr>
        <w:pStyle w:val="19"/>
        <w:pBdr>
          <w:bottom w:val="none" w:color="auto" w:sz="0" w:space="0"/>
        </w:pBdr>
        <w:tabs>
          <w:tab w:val="clear" w:pos="4153"/>
          <w:tab w:val="clear" w:pos="8306"/>
        </w:tabs>
        <w:snapToGrid/>
        <w:spacing w:before="156" w:beforeLines="50" w:line="360" w:lineRule="auto"/>
        <w:ind w:left="360"/>
        <w:jc w:val="both"/>
        <w:rPr>
          <w:rFonts w:hint="eastAsia" w:ascii="宋体" w:hAnsi="宋体"/>
          <w:bCs/>
          <w:color w:val="000000"/>
          <w:sz w:val="21"/>
          <w:szCs w:val="21"/>
        </w:rPr>
      </w:pPr>
      <w:r>
        <w:rPr>
          <w:rFonts w:hint="eastAsia" w:ascii="宋体" w:hAnsi="宋体"/>
          <w:bCs/>
          <w:color w:val="000000"/>
          <w:sz w:val="21"/>
          <w:szCs w:val="21"/>
        </w:rPr>
        <w:t>上述账户是乙方唯一收款账户，在未经乙方书面同意的情况下，甲方不得向乙方工作人员或任何第三方支付本协议项下之任何款项，否则视为甲方未履行本协议项下之付款义务。</w:t>
      </w:r>
    </w:p>
    <w:p>
      <w:pPr>
        <w:pStyle w:val="19"/>
        <w:numPr>
          <w:ilvl w:val="1"/>
          <w:numId w:val="10"/>
        </w:numPr>
        <w:pBdr>
          <w:bottom w:val="none" w:color="auto" w:sz="0" w:space="0"/>
        </w:pBdr>
        <w:tabs>
          <w:tab w:val="clear" w:pos="4153"/>
          <w:tab w:val="clear" w:pos="8306"/>
        </w:tabs>
        <w:snapToGrid/>
        <w:spacing w:before="156" w:beforeLines="50" w:line="360" w:lineRule="auto"/>
        <w:jc w:val="both"/>
        <w:rPr>
          <w:rFonts w:hint="eastAsia" w:ascii="宋体" w:hAnsi="宋体"/>
          <w:color w:val="000000"/>
          <w:sz w:val="21"/>
          <w:szCs w:val="21"/>
        </w:rPr>
      </w:pPr>
      <w:r>
        <w:rPr>
          <w:rFonts w:hint="eastAsia" w:ascii="宋体" w:hAnsi="宋体"/>
          <w:color w:val="000000"/>
          <w:sz w:val="21"/>
          <w:szCs w:val="21"/>
        </w:rPr>
        <w:t>乙方在收到甲方付款后向甲方开具相应金额的合法有效增值税普通发票，甲方的发票开具信息如下：</w:t>
      </w:r>
    </w:p>
    <w:p>
      <w:pPr>
        <w:pStyle w:val="19"/>
        <w:pBdr>
          <w:bottom w:val="none" w:color="auto" w:sz="0" w:space="0"/>
        </w:pBdr>
        <w:tabs>
          <w:tab w:val="clear" w:pos="4153"/>
          <w:tab w:val="clear" w:pos="8306"/>
        </w:tabs>
        <w:snapToGrid/>
        <w:spacing w:before="156" w:beforeLines="50" w:line="360" w:lineRule="auto"/>
        <w:ind w:left="360"/>
        <w:jc w:val="both"/>
        <w:rPr>
          <w:rFonts w:hint="default" w:ascii="宋体" w:hAnsi="宋体" w:eastAsia="宋体"/>
          <w:color w:val="000000"/>
          <w:sz w:val="21"/>
          <w:szCs w:val="21"/>
          <w:highlight w:val="yellow"/>
          <w:lang w:val="en-US" w:eastAsia="zh-CN"/>
        </w:rPr>
      </w:pPr>
      <w:r>
        <w:rPr>
          <w:rFonts w:hint="eastAsia" w:ascii="宋体" w:hAnsi="宋体" w:eastAsia="宋体" w:cs="Times New Roman"/>
          <w:color w:val="000000"/>
          <w:sz w:val="21"/>
          <w:szCs w:val="21"/>
        </w:rPr>
        <w:t>甲方名称：</w:t>
      </w:r>
    </w:p>
    <w:p>
      <w:pPr>
        <w:pStyle w:val="19"/>
        <w:pBdr>
          <w:bottom w:val="none" w:color="auto" w:sz="0" w:space="0"/>
        </w:pBdr>
        <w:tabs>
          <w:tab w:val="clear" w:pos="4153"/>
          <w:tab w:val="clear" w:pos="8306"/>
        </w:tabs>
        <w:snapToGrid/>
        <w:spacing w:before="156" w:beforeLines="50" w:line="360" w:lineRule="auto"/>
        <w:ind w:left="360"/>
        <w:jc w:val="both"/>
        <w:rPr>
          <w:rFonts w:hint="eastAsia" w:ascii="宋体" w:hAnsi="宋体"/>
          <w:bCs/>
          <w:color w:val="000000"/>
          <w:sz w:val="21"/>
          <w:szCs w:val="21"/>
          <w:highlight w:val="yellow"/>
        </w:rPr>
      </w:pPr>
      <w:r>
        <w:rPr>
          <w:rFonts w:hint="eastAsia" w:ascii="宋体" w:hAnsi="宋体"/>
          <w:color w:val="000000"/>
          <w:sz w:val="21"/>
          <w:szCs w:val="21"/>
          <w:highlight w:val="none"/>
        </w:rPr>
        <w:t>甲方纳税人识别号：</w:t>
      </w:r>
    </w:p>
    <w:p>
      <w:pPr>
        <w:pStyle w:val="19"/>
        <w:numPr>
          <w:ilvl w:val="1"/>
          <w:numId w:val="10"/>
        </w:numPr>
        <w:pBdr>
          <w:bottom w:val="none" w:color="auto" w:sz="0" w:space="0"/>
        </w:pBdr>
        <w:tabs>
          <w:tab w:val="clear" w:pos="4153"/>
          <w:tab w:val="clear" w:pos="8306"/>
        </w:tabs>
        <w:snapToGrid/>
        <w:spacing w:before="156" w:beforeLines="50" w:line="360" w:lineRule="auto"/>
        <w:jc w:val="both"/>
        <w:rPr>
          <w:rFonts w:hint="eastAsia" w:ascii="宋体" w:hAnsi="宋体"/>
          <w:color w:val="000000"/>
          <w:sz w:val="21"/>
          <w:szCs w:val="21"/>
        </w:rPr>
      </w:pPr>
      <w:r>
        <w:rPr>
          <w:rFonts w:hint="eastAsia" w:ascii="宋体" w:hAnsi="宋体"/>
          <w:bCs/>
          <w:color w:val="000000"/>
          <w:sz w:val="21"/>
          <w:szCs w:val="21"/>
        </w:rPr>
        <w:t>如果甲方不及时付款乙方有权暂停服务，甲方支付款项后乙方将重启服务。因甲方不按协议约定付款而导致乙方暂停服务的，乙方不承担违约责任。</w:t>
      </w:r>
    </w:p>
    <w:p>
      <w:pPr>
        <w:pStyle w:val="19"/>
        <w:numPr>
          <w:ilvl w:val="1"/>
          <w:numId w:val="7"/>
        </w:numPr>
        <w:pBdr>
          <w:bottom w:val="none" w:color="auto" w:sz="0" w:space="0"/>
        </w:pBdr>
        <w:tabs>
          <w:tab w:val="clear" w:pos="4153"/>
          <w:tab w:val="clear" w:pos="8306"/>
        </w:tabs>
        <w:snapToGrid/>
        <w:spacing w:before="156" w:beforeLines="50" w:line="360" w:lineRule="auto"/>
        <w:ind w:hanging="704"/>
        <w:jc w:val="both"/>
        <w:rPr>
          <w:rFonts w:hint="eastAsia" w:ascii="宋体" w:hAnsi="宋体"/>
          <w:b/>
          <w:color w:val="000000"/>
          <w:sz w:val="21"/>
          <w:szCs w:val="21"/>
        </w:rPr>
      </w:pPr>
      <w:r>
        <w:rPr>
          <w:rFonts w:hint="eastAsia" w:ascii="宋体" w:hAnsi="宋体"/>
          <w:b/>
          <w:color w:val="000000"/>
          <w:sz w:val="21"/>
          <w:szCs w:val="21"/>
        </w:rPr>
        <w:t>双方权利与义务</w:t>
      </w:r>
    </w:p>
    <w:p>
      <w:pPr>
        <w:pStyle w:val="19"/>
        <w:numPr>
          <w:ilvl w:val="1"/>
          <w:numId w:val="11"/>
        </w:numPr>
        <w:pBdr>
          <w:bottom w:val="none" w:color="auto" w:sz="0" w:space="0"/>
        </w:pBdr>
        <w:tabs>
          <w:tab w:val="clear" w:pos="4153"/>
          <w:tab w:val="clear" w:pos="8306"/>
        </w:tabs>
        <w:snapToGrid/>
        <w:spacing w:before="156" w:beforeLines="50" w:line="360" w:lineRule="auto"/>
        <w:jc w:val="both"/>
        <w:rPr>
          <w:rFonts w:hint="eastAsia" w:ascii="宋体" w:hAnsi="宋体"/>
          <w:b/>
          <w:color w:val="000000"/>
          <w:sz w:val="21"/>
          <w:szCs w:val="21"/>
        </w:rPr>
      </w:pPr>
      <w:r>
        <w:rPr>
          <w:rFonts w:ascii="宋体" w:hAnsi="宋体"/>
          <w:b/>
          <w:bCs/>
          <w:color w:val="000000"/>
          <w:sz w:val="21"/>
          <w:szCs w:val="21"/>
        </w:rPr>
        <w:t>甲方权利和义务：</w:t>
      </w:r>
    </w:p>
    <w:p>
      <w:pPr>
        <w:pStyle w:val="19"/>
        <w:numPr>
          <w:ilvl w:val="2"/>
          <w:numId w:val="11"/>
        </w:numPr>
        <w:pBdr>
          <w:bottom w:val="none" w:color="auto" w:sz="0" w:space="0"/>
        </w:pBdr>
        <w:tabs>
          <w:tab w:val="clear" w:pos="4153"/>
          <w:tab w:val="clear" w:pos="8306"/>
        </w:tabs>
        <w:snapToGrid/>
        <w:spacing w:before="156" w:beforeLines="50" w:line="360" w:lineRule="auto"/>
        <w:ind w:left="284" w:firstLine="0"/>
        <w:jc w:val="both"/>
        <w:rPr>
          <w:rFonts w:hint="eastAsia" w:ascii="宋体" w:hAnsi="宋体"/>
          <w:color w:val="000000"/>
          <w:sz w:val="21"/>
          <w:szCs w:val="21"/>
        </w:rPr>
      </w:pPr>
      <w:r>
        <w:rPr>
          <w:rFonts w:hint="eastAsia" w:ascii="宋体" w:hAnsi="宋体"/>
          <w:color w:val="000000"/>
          <w:sz w:val="21"/>
          <w:szCs w:val="21"/>
        </w:rPr>
        <w:t>甲方有权要求乙方为甲方人员提供优质服务；</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ascii="宋体" w:hAnsi="宋体"/>
          <w:color w:val="000000"/>
          <w:sz w:val="21"/>
          <w:szCs w:val="21"/>
        </w:rPr>
      </w:pPr>
      <w:r>
        <w:rPr>
          <w:rFonts w:ascii="宋体" w:hAnsi="宋体"/>
          <w:color w:val="000000"/>
          <w:sz w:val="21"/>
          <w:szCs w:val="21"/>
        </w:rPr>
        <w:t>甲方</w:t>
      </w:r>
      <w:r>
        <w:rPr>
          <w:rFonts w:hint="eastAsia" w:ascii="宋体" w:hAnsi="宋体"/>
          <w:color w:val="000000"/>
          <w:sz w:val="21"/>
          <w:szCs w:val="21"/>
        </w:rPr>
        <w:t>应在甲方人员到检前2个工作日向乙方提供本次体检甲方人员的名单及相关信息（包括：甲方人员姓名、性别及身份证号及女性婚姻状况），同时应按乙方要求告知其甲方人员携带身份证、体检凭证等相关资料以方便乙方进行身份确认，因甲方人员未携带相关资料或体检人员与相关资料信息不一致的，或到检人员并非甲方人员，则乙方有权拒绝提供体检服务，并不因此承担任何责任；</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ascii="宋体" w:hAnsi="宋体"/>
          <w:color w:val="000000"/>
          <w:sz w:val="21"/>
          <w:szCs w:val="21"/>
        </w:rPr>
      </w:pPr>
      <w:r>
        <w:rPr>
          <w:rFonts w:hint="eastAsia" w:ascii="宋体" w:hAnsi="宋体"/>
          <w:color w:val="000000"/>
          <w:sz w:val="21"/>
          <w:szCs w:val="21"/>
        </w:rPr>
        <w:t>甲方承诺向乙方提供的任何甲方人员的个人信息均获得了该甲方人员的充分授权，</w:t>
      </w:r>
      <w:r>
        <w:rPr>
          <w:rFonts w:hint="eastAsia" w:ascii="宋体" w:hAnsi="宋体"/>
          <w:color w:val="000000"/>
          <w:sz w:val="21"/>
          <w:szCs w:val="21"/>
          <w:lang w:val="en-US" w:eastAsia="zh-CN"/>
        </w:rPr>
        <w:t>可</w:t>
      </w:r>
      <w:r>
        <w:rPr>
          <w:rFonts w:hint="eastAsia" w:ascii="宋体" w:hAnsi="宋体"/>
          <w:color w:val="000000"/>
          <w:sz w:val="21"/>
          <w:szCs w:val="21"/>
        </w:rPr>
        <w:t>供乙方用于为甲方人员提供体检服务；乙方获得的甲方人员个人信息仅限用于本合同目的使用，不得用作其他用途；</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甲方承诺，未经甲方人员授权不得擅自代表该甲方人员注册和登录乙方平台的个人会员账户、预约乙方的体检；因甲方未获得充分授权而造成的任何损失，由甲方对此承担一切赔偿责任；</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ascii="宋体" w:hAnsi="宋体"/>
          <w:color w:val="000000"/>
          <w:sz w:val="21"/>
          <w:szCs w:val="21"/>
        </w:rPr>
      </w:pPr>
      <w:r>
        <w:rPr>
          <w:rFonts w:hint="eastAsia" w:ascii="宋体" w:hAnsi="宋体"/>
          <w:color w:val="000000"/>
          <w:sz w:val="21"/>
          <w:szCs w:val="21"/>
        </w:rPr>
        <w:t>甲方</w:t>
      </w:r>
      <w:r>
        <w:rPr>
          <w:rFonts w:ascii="宋体" w:hAnsi="宋体"/>
          <w:color w:val="000000"/>
          <w:sz w:val="21"/>
          <w:szCs w:val="21"/>
        </w:rPr>
        <w:t>按协议</w:t>
      </w:r>
      <w:r>
        <w:rPr>
          <w:rFonts w:hint="eastAsia" w:ascii="宋体" w:hAnsi="宋体"/>
          <w:color w:val="000000"/>
          <w:sz w:val="21"/>
          <w:szCs w:val="21"/>
        </w:rPr>
        <w:t>约定向</w:t>
      </w:r>
      <w:r>
        <w:rPr>
          <w:rFonts w:ascii="宋体" w:hAnsi="宋体"/>
          <w:color w:val="000000"/>
          <w:sz w:val="21"/>
          <w:szCs w:val="21"/>
        </w:rPr>
        <w:t>乙方支付</w:t>
      </w:r>
      <w:r>
        <w:rPr>
          <w:rFonts w:hint="eastAsia" w:ascii="宋体" w:hAnsi="宋体"/>
          <w:color w:val="000000"/>
          <w:sz w:val="21"/>
          <w:szCs w:val="21"/>
        </w:rPr>
        <w:t>体检</w:t>
      </w:r>
      <w:r>
        <w:rPr>
          <w:rFonts w:ascii="宋体" w:hAnsi="宋体"/>
          <w:color w:val="000000"/>
          <w:sz w:val="21"/>
          <w:szCs w:val="21"/>
        </w:rPr>
        <w:t>费用</w:t>
      </w:r>
      <w:r>
        <w:rPr>
          <w:rFonts w:hint="eastAsia" w:ascii="宋体" w:hAnsi="宋体"/>
          <w:color w:val="000000"/>
          <w:sz w:val="21"/>
          <w:szCs w:val="21"/>
        </w:rPr>
        <w:t>；</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甲方</w:t>
      </w:r>
      <w:r>
        <w:rPr>
          <w:rFonts w:ascii="宋体" w:hAnsi="宋体"/>
          <w:color w:val="000000"/>
          <w:sz w:val="21"/>
          <w:szCs w:val="21"/>
        </w:rPr>
        <w:t>在合作期限内</w:t>
      </w:r>
      <w:r>
        <w:rPr>
          <w:rFonts w:hint="eastAsia" w:ascii="宋体" w:hAnsi="宋体"/>
          <w:color w:val="000000"/>
          <w:sz w:val="21"/>
          <w:szCs w:val="21"/>
        </w:rPr>
        <w:t>应</w:t>
      </w:r>
      <w:r>
        <w:rPr>
          <w:rFonts w:ascii="宋体" w:hAnsi="宋体"/>
          <w:color w:val="000000"/>
          <w:sz w:val="21"/>
          <w:szCs w:val="21"/>
        </w:rPr>
        <w:t>优先考虑乙方作为其主要供应商与甲方员工</w:t>
      </w:r>
      <w:r>
        <w:rPr>
          <w:rFonts w:hint="eastAsia" w:ascii="宋体" w:hAnsi="宋体"/>
          <w:color w:val="000000"/>
          <w:sz w:val="21"/>
          <w:szCs w:val="21"/>
        </w:rPr>
        <w:t>和高管</w:t>
      </w:r>
      <w:r>
        <w:rPr>
          <w:rFonts w:ascii="宋体" w:hAnsi="宋体"/>
          <w:color w:val="000000"/>
          <w:sz w:val="21"/>
          <w:szCs w:val="21"/>
        </w:rPr>
        <w:t>提供其他涉及健康管理领域的产品与服务</w:t>
      </w:r>
      <w:r>
        <w:rPr>
          <w:rFonts w:hint="eastAsia" w:ascii="宋体" w:hAnsi="宋体"/>
          <w:color w:val="000000"/>
          <w:sz w:val="21"/>
          <w:szCs w:val="21"/>
        </w:rPr>
        <w:t>；</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ascii="宋体" w:hAnsi="宋体"/>
          <w:color w:val="000000"/>
          <w:sz w:val="21"/>
          <w:szCs w:val="21"/>
        </w:rPr>
      </w:pPr>
      <w:r>
        <w:rPr>
          <w:rFonts w:hint="eastAsia" w:ascii="宋体" w:hAnsi="宋体"/>
          <w:color w:val="000000"/>
          <w:sz w:val="21"/>
          <w:szCs w:val="21"/>
        </w:rPr>
        <w:t>若甲方需要统一收取并查看其</w:t>
      </w:r>
      <w:r>
        <w:rPr>
          <w:rFonts w:hint="eastAsia" w:ascii="宋体" w:hAnsi="宋体"/>
          <w:color w:val="000000"/>
          <w:sz w:val="21"/>
          <w:szCs w:val="21"/>
          <w:lang w:val="en-US" w:eastAsia="zh-CN"/>
        </w:rPr>
        <w:t>职工</w:t>
      </w:r>
      <w:r>
        <w:rPr>
          <w:rFonts w:hint="eastAsia" w:ascii="宋体" w:hAnsi="宋体"/>
          <w:color w:val="000000"/>
          <w:sz w:val="21"/>
          <w:szCs w:val="21"/>
        </w:rPr>
        <w:t>的体检报告或体检信息，则甲方承诺已事先取得其</w:t>
      </w:r>
      <w:r>
        <w:rPr>
          <w:rFonts w:hint="eastAsia" w:ascii="宋体" w:hAnsi="宋体"/>
          <w:color w:val="000000"/>
          <w:sz w:val="21"/>
          <w:szCs w:val="21"/>
          <w:lang w:val="en-US" w:eastAsia="zh-CN"/>
        </w:rPr>
        <w:t>职工</w:t>
      </w:r>
      <w:r>
        <w:rPr>
          <w:rFonts w:hint="eastAsia" w:ascii="宋体" w:hAnsi="宋体"/>
          <w:color w:val="000000"/>
          <w:sz w:val="21"/>
          <w:szCs w:val="21"/>
        </w:rPr>
        <w:t>的明示同意，且本协议其他条款涉及的甲方人员授权或同意不得被理解为本条下的书面明示同意；否则由此导致的纠纷由甲方自行解决，乙方或甲方人员由此受到任何损失的，甲方对此承担一切赔偿责任；</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若甲方代甲方人员收取体检报告，甲方承诺已取得该甲方人员的同意；未经该甲方人员同意，甲方不得拆开代收的体检报告；除非该甲方人员另有指示，甲方应明确告知乙方代收的方式（如邮箱地址），并保障代收的体检报告的数据安全；甲方人员有权决定或更正其获取体检报告的方式，甲方不得以甲方人员拒绝甲方代收体检报告为由，拒绝履行本协议下甲方的义务；</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ascii="宋体" w:hAnsi="宋体"/>
          <w:color w:val="000000"/>
          <w:sz w:val="21"/>
          <w:szCs w:val="21"/>
        </w:rPr>
        <w:t>甲方</w:t>
      </w:r>
      <w:r>
        <w:rPr>
          <w:rFonts w:hint="eastAsia" w:ascii="宋体" w:hAnsi="宋体"/>
          <w:color w:val="000000"/>
          <w:sz w:val="21"/>
          <w:szCs w:val="21"/>
        </w:rPr>
        <w:t>负有保密义务，</w:t>
      </w:r>
      <w:r>
        <w:rPr>
          <w:rFonts w:ascii="宋体" w:hAnsi="宋体"/>
          <w:color w:val="000000"/>
          <w:sz w:val="21"/>
          <w:szCs w:val="21"/>
        </w:rPr>
        <w:t>在未获得乙方书面允许的情况下，不得向第三方披露有关乙方的数据资料和内容，以及任何与本协议有关的信息。</w:t>
      </w:r>
    </w:p>
    <w:p>
      <w:pPr>
        <w:pStyle w:val="19"/>
        <w:numPr>
          <w:ilvl w:val="1"/>
          <w:numId w:val="11"/>
        </w:numPr>
        <w:pBdr>
          <w:bottom w:val="none" w:color="auto" w:sz="0" w:space="0"/>
        </w:pBdr>
        <w:tabs>
          <w:tab w:val="clear" w:pos="4153"/>
          <w:tab w:val="clear" w:pos="8306"/>
        </w:tabs>
        <w:snapToGrid/>
        <w:spacing w:before="156" w:beforeLines="50" w:line="360" w:lineRule="auto"/>
        <w:jc w:val="both"/>
        <w:rPr>
          <w:rFonts w:ascii="宋体" w:hAnsi="宋体"/>
          <w:b/>
          <w:color w:val="000000"/>
          <w:sz w:val="21"/>
          <w:szCs w:val="21"/>
        </w:rPr>
      </w:pPr>
      <w:r>
        <w:rPr>
          <w:rFonts w:ascii="宋体" w:hAnsi="宋体"/>
          <w:b/>
          <w:bCs/>
          <w:color w:val="000000"/>
          <w:sz w:val="21"/>
          <w:szCs w:val="21"/>
        </w:rPr>
        <w:t>乙方权利和义务：</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乙方有权</w:t>
      </w:r>
      <w:r>
        <w:rPr>
          <w:rFonts w:ascii="宋体" w:hAnsi="宋体"/>
          <w:color w:val="000000"/>
          <w:sz w:val="21"/>
          <w:szCs w:val="21"/>
        </w:rPr>
        <w:t>按协议</w:t>
      </w:r>
      <w:r>
        <w:rPr>
          <w:rFonts w:hint="eastAsia" w:ascii="宋体" w:hAnsi="宋体"/>
          <w:color w:val="000000"/>
          <w:sz w:val="21"/>
          <w:szCs w:val="21"/>
        </w:rPr>
        <w:t>约定</w:t>
      </w:r>
      <w:r>
        <w:rPr>
          <w:rFonts w:ascii="宋体" w:hAnsi="宋体"/>
          <w:color w:val="000000"/>
          <w:sz w:val="21"/>
          <w:szCs w:val="21"/>
        </w:rPr>
        <w:t>要求甲方按期付款</w:t>
      </w:r>
      <w:r>
        <w:rPr>
          <w:rFonts w:hint="eastAsia" w:ascii="宋体" w:hAnsi="宋体"/>
          <w:color w:val="000000"/>
          <w:sz w:val="21"/>
          <w:szCs w:val="21"/>
        </w:rPr>
        <w:t>；</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ascii="宋体" w:hAnsi="宋体"/>
          <w:color w:val="000000"/>
          <w:sz w:val="21"/>
          <w:szCs w:val="21"/>
        </w:rPr>
        <w:t>乙方应</w:t>
      </w:r>
      <w:r>
        <w:rPr>
          <w:rFonts w:hint="eastAsia" w:ascii="宋体" w:hAnsi="宋体"/>
          <w:color w:val="000000"/>
          <w:sz w:val="21"/>
          <w:szCs w:val="21"/>
        </w:rPr>
        <w:t>按本协议约定的时间及方式</w:t>
      </w:r>
      <w:r>
        <w:rPr>
          <w:rFonts w:ascii="宋体" w:hAnsi="宋体"/>
          <w:color w:val="000000"/>
          <w:sz w:val="21"/>
          <w:szCs w:val="21"/>
        </w:rPr>
        <w:t>安排甲方</w:t>
      </w:r>
      <w:r>
        <w:rPr>
          <w:rFonts w:hint="eastAsia" w:ascii="宋体" w:hAnsi="宋体"/>
          <w:color w:val="000000"/>
          <w:sz w:val="21"/>
          <w:szCs w:val="21"/>
        </w:rPr>
        <w:t>人员</w:t>
      </w:r>
      <w:r>
        <w:rPr>
          <w:rFonts w:ascii="宋体" w:hAnsi="宋体"/>
          <w:color w:val="000000"/>
          <w:sz w:val="21"/>
          <w:szCs w:val="21"/>
        </w:rPr>
        <w:t>体检</w:t>
      </w:r>
      <w:r>
        <w:rPr>
          <w:rFonts w:hint="eastAsia" w:ascii="宋体" w:hAnsi="宋体"/>
          <w:color w:val="000000"/>
          <w:sz w:val="21"/>
          <w:szCs w:val="21"/>
        </w:rPr>
        <w:t>；</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ascii="宋体" w:hAnsi="宋体"/>
          <w:color w:val="000000"/>
          <w:sz w:val="21"/>
          <w:szCs w:val="21"/>
        </w:rPr>
      </w:pPr>
      <w:r>
        <w:rPr>
          <w:rFonts w:ascii="宋体" w:hAnsi="宋体"/>
          <w:color w:val="000000"/>
          <w:sz w:val="21"/>
          <w:szCs w:val="21"/>
        </w:rPr>
        <w:t>乙方</w:t>
      </w:r>
      <w:r>
        <w:rPr>
          <w:rFonts w:hint="eastAsia" w:ascii="宋体" w:hAnsi="宋体"/>
          <w:color w:val="000000"/>
          <w:sz w:val="21"/>
          <w:szCs w:val="21"/>
        </w:rPr>
        <w:t>有权向</w:t>
      </w:r>
      <w:r>
        <w:rPr>
          <w:rFonts w:ascii="宋体" w:hAnsi="宋体"/>
          <w:color w:val="000000"/>
          <w:sz w:val="21"/>
          <w:szCs w:val="21"/>
        </w:rPr>
        <w:t>甲方</w:t>
      </w:r>
      <w:r>
        <w:rPr>
          <w:rFonts w:hint="eastAsia" w:ascii="宋体" w:hAnsi="宋体"/>
          <w:color w:val="000000"/>
          <w:sz w:val="21"/>
          <w:szCs w:val="21"/>
        </w:rPr>
        <w:t>人员宣传</w:t>
      </w:r>
      <w:r>
        <w:rPr>
          <w:rFonts w:ascii="宋体" w:hAnsi="宋体"/>
          <w:color w:val="000000"/>
          <w:sz w:val="21"/>
          <w:szCs w:val="21"/>
        </w:rPr>
        <w:t>“健康管理”的理念</w:t>
      </w:r>
      <w:r>
        <w:rPr>
          <w:rFonts w:hint="eastAsia" w:ascii="宋体" w:hAnsi="宋体"/>
          <w:color w:val="000000"/>
          <w:sz w:val="21"/>
          <w:szCs w:val="21"/>
        </w:rPr>
        <w:t>；</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乙</w:t>
      </w:r>
      <w:r>
        <w:rPr>
          <w:rFonts w:ascii="宋体" w:hAnsi="宋体"/>
          <w:color w:val="000000"/>
          <w:sz w:val="21"/>
          <w:szCs w:val="21"/>
        </w:rPr>
        <w:t>方</w:t>
      </w:r>
      <w:r>
        <w:rPr>
          <w:rFonts w:hint="eastAsia" w:ascii="宋体" w:hAnsi="宋体"/>
          <w:color w:val="000000"/>
          <w:sz w:val="21"/>
          <w:szCs w:val="21"/>
        </w:rPr>
        <w:t>负有保密义务，</w:t>
      </w:r>
      <w:r>
        <w:rPr>
          <w:rFonts w:ascii="宋体" w:hAnsi="宋体"/>
          <w:color w:val="000000"/>
          <w:sz w:val="21"/>
          <w:szCs w:val="21"/>
        </w:rPr>
        <w:t>在未获得</w:t>
      </w:r>
      <w:r>
        <w:rPr>
          <w:rFonts w:hint="eastAsia" w:ascii="宋体" w:hAnsi="宋体"/>
          <w:color w:val="000000"/>
          <w:sz w:val="21"/>
          <w:szCs w:val="21"/>
        </w:rPr>
        <w:t>甲</w:t>
      </w:r>
      <w:r>
        <w:rPr>
          <w:rFonts w:ascii="宋体" w:hAnsi="宋体"/>
          <w:color w:val="000000"/>
          <w:sz w:val="21"/>
          <w:szCs w:val="21"/>
        </w:rPr>
        <w:t>方书面允许的情况下，不得向第三方披露有关</w:t>
      </w:r>
      <w:r>
        <w:rPr>
          <w:rFonts w:hint="eastAsia" w:ascii="宋体" w:hAnsi="宋体"/>
          <w:color w:val="000000"/>
          <w:sz w:val="21"/>
          <w:szCs w:val="21"/>
        </w:rPr>
        <w:t>甲</w:t>
      </w:r>
      <w:r>
        <w:rPr>
          <w:rFonts w:ascii="宋体" w:hAnsi="宋体"/>
          <w:color w:val="000000"/>
          <w:sz w:val="21"/>
          <w:szCs w:val="21"/>
        </w:rPr>
        <w:t>方的数据资料和内容，以及任何与本协议有关的信息。</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乙方对甲方人员的体检报告负有保密义务，除按照甲方要求向甲方提供甲方人员体检报告，以及向甲方人员提供外，乙方不得向任何第三方提供。</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若甲方人员在体检过程中导致的伤害或疾病，乙方应承担全部费用（包括但不限于治疗费、住院费、药品费、误工费等）并承担所有法律赔偿责任。</w:t>
      </w:r>
    </w:p>
    <w:p>
      <w:pPr>
        <w:pStyle w:val="19"/>
        <w:numPr>
          <w:ilvl w:val="1"/>
          <w:numId w:val="11"/>
        </w:numPr>
        <w:pBdr>
          <w:bottom w:val="none" w:color="auto" w:sz="0" w:space="0"/>
        </w:pBdr>
        <w:tabs>
          <w:tab w:val="clear" w:pos="4153"/>
          <w:tab w:val="clear" w:pos="8306"/>
        </w:tabs>
        <w:snapToGrid/>
        <w:spacing w:before="156" w:beforeLines="50" w:line="360" w:lineRule="auto"/>
        <w:jc w:val="both"/>
        <w:rPr>
          <w:rFonts w:hint="eastAsia" w:ascii="宋体" w:hAnsi="宋体"/>
          <w:b/>
          <w:bCs/>
          <w:color w:val="000000"/>
          <w:sz w:val="21"/>
          <w:szCs w:val="21"/>
        </w:rPr>
      </w:pPr>
      <w:r>
        <w:rPr>
          <w:rFonts w:hint="eastAsia" w:ascii="宋体" w:hAnsi="宋体"/>
          <w:b/>
          <w:bCs/>
          <w:color w:val="000000"/>
          <w:sz w:val="21"/>
          <w:szCs w:val="21"/>
        </w:rPr>
        <w:t>双方联系人</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本协议项下要求或发出的所有通知和其他通信应通过专人递送、挂号邮寄、邮资预付或商业快递服务或传真的方式发到各方下列地址。每一通知还应再以电子邮件送达。该等通知视为有效送达的日期按如下方式：</w:t>
      </w:r>
    </w:p>
    <w:p>
      <w:pPr>
        <w:pStyle w:val="19"/>
        <w:pBdr>
          <w:bottom w:val="none" w:color="auto" w:sz="0" w:space="0"/>
        </w:pBdr>
        <w:tabs>
          <w:tab w:val="clear" w:pos="4153"/>
          <w:tab w:val="clear" w:pos="8306"/>
        </w:tabs>
        <w:snapToGrid/>
        <w:spacing w:before="156" w:beforeLines="50" w:line="360" w:lineRule="auto"/>
        <w:ind w:left="567" w:leftChars="270"/>
        <w:jc w:val="both"/>
        <w:rPr>
          <w:rFonts w:hint="eastAsia" w:ascii="宋体" w:hAnsi="宋体" w:eastAsia="宋体" w:cs="Times New Roman"/>
          <w:color w:val="000000"/>
          <w:sz w:val="21"/>
          <w:szCs w:val="21"/>
          <w:highlight w:val="yellow"/>
        </w:rPr>
      </w:pPr>
      <w:r>
        <w:rPr>
          <w:rFonts w:hint="eastAsia" w:ascii="宋体" w:hAnsi="宋体"/>
          <w:color w:val="000000"/>
          <w:sz w:val="21"/>
          <w:szCs w:val="21"/>
          <w:highlight w:val="none"/>
        </w:rPr>
        <w:t>甲方地址：</w:t>
      </w:r>
    </w:p>
    <w:p>
      <w:pPr>
        <w:pStyle w:val="19"/>
        <w:pBdr>
          <w:bottom w:val="none" w:color="auto" w:sz="0" w:space="0"/>
        </w:pBdr>
        <w:tabs>
          <w:tab w:val="clear" w:pos="4153"/>
          <w:tab w:val="clear" w:pos="8306"/>
        </w:tabs>
        <w:snapToGrid/>
        <w:spacing w:before="156" w:beforeLines="50" w:line="360" w:lineRule="auto"/>
        <w:ind w:left="567" w:leftChars="270"/>
        <w:jc w:val="both"/>
        <w:rPr>
          <w:rFonts w:ascii="宋体" w:hAnsi="宋体"/>
          <w:color w:val="000000"/>
          <w:sz w:val="21"/>
          <w:szCs w:val="21"/>
          <w:highlight w:val="yellow"/>
        </w:rPr>
      </w:pPr>
      <w:r>
        <w:rPr>
          <w:rFonts w:hint="eastAsia" w:ascii="宋体" w:hAnsi="宋体"/>
          <w:color w:val="000000"/>
          <w:sz w:val="21"/>
          <w:szCs w:val="21"/>
          <w:highlight w:val="none"/>
        </w:rPr>
        <w:t>甲方联系人：</w:t>
      </w:r>
    </w:p>
    <w:p>
      <w:pPr>
        <w:pStyle w:val="19"/>
        <w:pBdr>
          <w:bottom w:val="none" w:color="auto" w:sz="0" w:space="0"/>
        </w:pBdr>
        <w:tabs>
          <w:tab w:val="clear" w:pos="4153"/>
          <w:tab w:val="clear" w:pos="8306"/>
        </w:tabs>
        <w:snapToGrid/>
        <w:spacing w:before="156" w:beforeLines="50" w:line="360" w:lineRule="auto"/>
        <w:ind w:left="567" w:leftChars="270"/>
        <w:jc w:val="both"/>
        <w:rPr>
          <w:rFonts w:hint="default" w:ascii="宋体" w:hAnsi="宋体" w:eastAsia="宋体"/>
          <w:color w:val="000000"/>
          <w:sz w:val="21"/>
          <w:szCs w:val="21"/>
          <w:lang w:val="en-US" w:eastAsia="zh-CN"/>
        </w:rPr>
      </w:pPr>
      <w:r>
        <w:rPr>
          <w:rFonts w:hint="eastAsia" w:ascii="宋体" w:hAnsi="宋体"/>
          <w:color w:val="000000"/>
          <w:sz w:val="21"/>
          <w:szCs w:val="21"/>
        </w:rPr>
        <w:t>乙方地址：</w:t>
      </w:r>
    </w:p>
    <w:p>
      <w:pPr>
        <w:pStyle w:val="19"/>
        <w:pBdr>
          <w:bottom w:val="none" w:color="auto" w:sz="0" w:space="0"/>
        </w:pBdr>
        <w:tabs>
          <w:tab w:val="clear" w:pos="4153"/>
          <w:tab w:val="clear" w:pos="8306"/>
        </w:tabs>
        <w:snapToGrid/>
        <w:spacing w:before="156" w:beforeLines="50" w:line="360" w:lineRule="auto"/>
        <w:ind w:left="567" w:leftChars="270"/>
        <w:jc w:val="both"/>
        <w:rPr>
          <w:rFonts w:hint="eastAsia" w:ascii="宋体" w:hAnsi="宋体"/>
          <w:color w:val="000000"/>
          <w:sz w:val="21"/>
          <w:szCs w:val="21"/>
        </w:rPr>
      </w:pPr>
      <w:r>
        <w:rPr>
          <w:rFonts w:hint="eastAsia" w:ascii="宋体" w:hAnsi="宋体"/>
          <w:color w:val="000000"/>
          <w:sz w:val="21"/>
          <w:szCs w:val="21"/>
        </w:rPr>
        <w:t>乙方联系人：</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hint="eastAsia" w:ascii="宋体" w:hAnsi="宋体"/>
          <w:color w:val="000000"/>
          <w:sz w:val="21"/>
          <w:szCs w:val="21"/>
        </w:rPr>
      </w:pPr>
      <w:r>
        <w:rPr>
          <w:rFonts w:hint="eastAsia" w:ascii="宋体" w:hAnsi="宋体"/>
          <w:color w:val="000000"/>
          <w:sz w:val="21"/>
          <w:szCs w:val="21"/>
        </w:rPr>
        <w:t>通知如果是以专人递送、快递服务或挂号邮寄、邮资预付发出的，则以于设定为通知的地址在发送之日为有效送达日。</w:t>
      </w:r>
    </w:p>
    <w:p>
      <w:pPr>
        <w:pStyle w:val="19"/>
        <w:numPr>
          <w:ilvl w:val="2"/>
          <w:numId w:val="11"/>
        </w:numPr>
        <w:pBdr>
          <w:bottom w:val="none" w:color="auto" w:sz="0" w:space="0"/>
        </w:pBdr>
        <w:tabs>
          <w:tab w:val="clear" w:pos="4153"/>
          <w:tab w:val="clear" w:pos="8306"/>
        </w:tabs>
        <w:snapToGrid/>
        <w:spacing w:before="156" w:beforeLines="50" w:line="360" w:lineRule="auto"/>
        <w:ind w:left="850" w:leftChars="135" w:hanging="567" w:hangingChars="270"/>
        <w:jc w:val="both"/>
        <w:rPr>
          <w:rFonts w:ascii="宋体" w:hAnsi="宋体"/>
          <w:color w:val="000000"/>
          <w:sz w:val="21"/>
          <w:szCs w:val="21"/>
        </w:rPr>
      </w:pPr>
      <w:r>
        <w:rPr>
          <w:rFonts w:hint="eastAsia" w:ascii="宋体" w:hAnsi="宋体"/>
          <w:color w:val="000000"/>
          <w:sz w:val="21"/>
          <w:szCs w:val="21"/>
        </w:rPr>
        <w:t>任何一方如需更换联系人应及时以书面形式通知对方，若因未能及时更换联系人而遭受的损失自行承担。</w:t>
      </w:r>
    </w:p>
    <w:p>
      <w:pPr>
        <w:pStyle w:val="19"/>
        <w:numPr>
          <w:ilvl w:val="1"/>
          <w:numId w:val="12"/>
        </w:numPr>
        <w:pBdr>
          <w:bottom w:val="none" w:color="auto" w:sz="0" w:space="0"/>
        </w:pBdr>
        <w:tabs>
          <w:tab w:val="clear" w:pos="4153"/>
          <w:tab w:val="clear" w:pos="8306"/>
        </w:tabs>
        <w:snapToGrid/>
        <w:spacing w:before="156" w:beforeLines="50" w:line="360" w:lineRule="auto"/>
        <w:ind w:left="420" w:hanging="704"/>
        <w:jc w:val="both"/>
        <w:rPr>
          <w:rFonts w:hint="eastAsia" w:ascii="宋体" w:hAnsi="宋体"/>
          <w:b/>
          <w:color w:val="000000"/>
          <w:sz w:val="21"/>
          <w:szCs w:val="21"/>
        </w:rPr>
      </w:pPr>
      <w:r>
        <w:rPr>
          <w:rFonts w:hint="eastAsia" w:ascii="宋体" w:hAnsi="宋体"/>
          <w:b/>
          <w:color w:val="000000"/>
          <w:sz w:val="21"/>
          <w:szCs w:val="21"/>
        </w:rPr>
        <w:t>关于体检服务质量的承诺</w:t>
      </w:r>
    </w:p>
    <w:p>
      <w:pPr>
        <w:pStyle w:val="44"/>
        <w:numPr>
          <w:ilvl w:val="0"/>
          <w:numId w:val="13"/>
        </w:numPr>
        <w:spacing w:before="156" w:beforeLines="50" w:line="360" w:lineRule="auto"/>
        <w:ind w:firstLineChars="0"/>
        <w:rPr>
          <w:rFonts w:hint="eastAsia" w:ascii="宋体" w:hAnsi="宋体"/>
          <w:bCs/>
          <w:vanish/>
          <w:color w:val="000000"/>
          <w:szCs w:val="21"/>
        </w:rPr>
      </w:pPr>
    </w:p>
    <w:p>
      <w:pPr>
        <w:pStyle w:val="44"/>
        <w:numPr>
          <w:ilvl w:val="0"/>
          <w:numId w:val="13"/>
        </w:numPr>
        <w:spacing w:before="156" w:beforeLines="50" w:line="360" w:lineRule="auto"/>
        <w:ind w:firstLineChars="0"/>
        <w:rPr>
          <w:rFonts w:hint="eastAsia" w:ascii="宋体" w:hAnsi="宋体"/>
          <w:bCs/>
          <w:vanish/>
          <w:color w:val="000000"/>
          <w:szCs w:val="21"/>
        </w:rPr>
      </w:pPr>
    </w:p>
    <w:p>
      <w:pPr>
        <w:pStyle w:val="44"/>
        <w:numPr>
          <w:ilvl w:val="0"/>
          <w:numId w:val="13"/>
        </w:numPr>
        <w:spacing w:before="156" w:beforeLines="50" w:line="360" w:lineRule="auto"/>
        <w:ind w:firstLineChars="0"/>
        <w:rPr>
          <w:rFonts w:hint="eastAsia" w:ascii="宋体" w:hAnsi="宋体"/>
          <w:bCs/>
          <w:vanish/>
          <w:color w:val="000000"/>
          <w:szCs w:val="21"/>
        </w:rPr>
      </w:pPr>
    </w:p>
    <w:p>
      <w:pPr>
        <w:pStyle w:val="19"/>
        <w:numPr>
          <w:ilvl w:val="1"/>
          <w:numId w:val="13"/>
        </w:numPr>
        <w:pBdr>
          <w:bottom w:val="none" w:color="auto" w:sz="0" w:space="0"/>
        </w:pBdr>
        <w:tabs>
          <w:tab w:val="clear" w:pos="4153"/>
          <w:tab w:val="clear" w:pos="8306"/>
        </w:tabs>
        <w:snapToGrid/>
        <w:spacing w:before="156" w:beforeLines="50" w:line="360" w:lineRule="auto"/>
        <w:ind w:left="360" w:hanging="360"/>
        <w:jc w:val="both"/>
        <w:rPr>
          <w:rFonts w:hint="eastAsia" w:ascii="宋体" w:hAnsi="宋体"/>
          <w:b w:val="0"/>
          <w:bCs/>
          <w:color w:val="000000"/>
          <w:sz w:val="21"/>
          <w:szCs w:val="21"/>
        </w:rPr>
      </w:pPr>
      <w:r>
        <w:rPr>
          <w:rFonts w:hint="eastAsia" w:ascii="宋体" w:hAnsi="宋体"/>
          <w:b w:val="0"/>
          <w:bCs/>
          <w:color w:val="000000"/>
          <w:sz w:val="21"/>
          <w:szCs w:val="21"/>
        </w:rPr>
        <w:t>乙方提供的健康体检服务符合中国法律法规的要求，符合卫生部《健康体检管理暂行规定》和《北京市健康体检管理办法》的相关规定，也符合和健康体检本身所能达到的一般性要求。</w:t>
      </w:r>
    </w:p>
    <w:p>
      <w:pPr>
        <w:pStyle w:val="19"/>
        <w:numPr>
          <w:ilvl w:val="1"/>
          <w:numId w:val="13"/>
        </w:numPr>
        <w:pBdr>
          <w:bottom w:val="none" w:color="auto" w:sz="0" w:space="0"/>
        </w:pBdr>
        <w:tabs>
          <w:tab w:val="clear" w:pos="4153"/>
          <w:tab w:val="clear" w:pos="8306"/>
        </w:tabs>
        <w:snapToGrid/>
        <w:spacing w:before="156" w:beforeLines="50" w:line="360" w:lineRule="auto"/>
        <w:ind w:left="360" w:hanging="360"/>
        <w:jc w:val="both"/>
        <w:rPr>
          <w:rFonts w:hint="eastAsia" w:ascii="宋体" w:hAnsi="宋体"/>
          <w:b w:val="0"/>
          <w:bCs/>
          <w:color w:val="000000"/>
          <w:sz w:val="21"/>
          <w:szCs w:val="21"/>
        </w:rPr>
      </w:pPr>
      <w:r>
        <w:rPr>
          <w:rFonts w:hint="eastAsia" w:ascii="宋体" w:hAnsi="宋体"/>
          <w:b w:val="0"/>
          <w:bCs/>
          <w:color w:val="000000"/>
          <w:sz w:val="21"/>
          <w:szCs w:val="21"/>
        </w:rPr>
        <w:t>双方在履行合同的过程中，若因乙方在提供的健康体检服务质量上引起甲方投诉，乙方应积极应对，并改进服务。</w:t>
      </w:r>
    </w:p>
    <w:p>
      <w:pPr>
        <w:pStyle w:val="19"/>
        <w:numPr>
          <w:ilvl w:val="1"/>
          <w:numId w:val="13"/>
        </w:numPr>
        <w:pBdr>
          <w:bottom w:val="none" w:color="auto" w:sz="0" w:space="0"/>
        </w:pBdr>
        <w:tabs>
          <w:tab w:val="clear" w:pos="4153"/>
          <w:tab w:val="clear" w:pos="8306"/>
        </w:tabs>
        <w:snapToGrid/>
        <w:spacing w:before="156" w:beforeLines="50" w:line="360" w:lineRule="auto"/>
        <w:ind w:left="360" w:hanging="360"/>
        <w:jc w:val="both"/>
        <w:rPr>
          <w:rFonts w:hint="eastAsia" w:ascii="宋体" w:hAnsi="宋体"/>
          <w:b w:val="0"/>
          <w:bCs/>
          <w:color w:val="000000"/>
          <w:sz w:val="21"/>
          <w:szCs w:val="21"/>
        </w:rPr>
      </w:pPr>
      <w:r>
        <w:rPr>
          <w:rFonts w:hint="eastAsia" w:ascii="宋体" w:hAnsi="宋体"/>
          <w:b w:val="0"/>
          <w:bCs/>
          <w:color w:val="000000"/>
          <w:sz w:val="21"/>
          <w:szCs w:val="21"/>
        </w:rPr>
        <w:t>如涉及医疗事故的，按照《医疗事故处理条例》、《医疗事故技术鉴定暂行办法》和《医疗事故分级标准》等规定进行处理。</w:t>
      </w:r>
    </w:p>
    <w:p>
      <w:pPr>
        <w:pStyle w:val="19"/>
        <w:numPr>
          <w:ilvl w:val="1"/>
          <w:numId w:val="12"/>
        </w:numPr>
        <w:pBdr>
          <w:bottom w:val="none" w:color="auto" w:sz="0" w:space="0"/>
        </w:pBdr>
        <w:tabs>
          <w:tab w:val="clear" w:pos="4153"/>
          <w:tab w:val="clear" w:pos="8306"/>
        </w:tabs>
        <w:snapToGrid/>
        <w:spacing w:before="156" w:beforeLines="50" w:line="360" w:lineRule="auto"/>
        <w:ind w:hanging="704"/>
        <w:jc w:val="both"/>
        <w:rPr>
          <w:rFonts w:hint="eastAsia" w:ascii="宋体" w:hAnsi="宋体"/>
          <w:b/>
          <w:color w:val="000000"/>
          <w:sz w:val="21"/>
          <w:szCs w:val="21"/>
        </w:rPr>
      </w:pPr>
      <w:r>
        <w:rPr>
          <w:rFonts w:ascii="宋体" w:hAnsi="宋体"/>
          <w:b/>
          <w:color w:val="000000"/>
          <w:sz w:val="21"/>
          <w:szCs w:val="21"/>
        </w:rPr>
        <w:t>违约责任</w:t>
      </w:r>
    </w:p>
    <w:p>
      <w:pPr>
        <w:pStyle w:val="19"/>
        <w:numPr>
          <w:ilvl w:val="0"/>
          <w:numId w:val="0"/>
        </w:numPr>
        <w:pBdr>
          <w:bottom w:val="none" w:color="auto" w:sz="0" w:space="0"/>
        </w:pBdr>
        <w:tabs>
          <w:tab w:val="clear" w:pos="4153"/>
          <w:tab w:val="clear" w:pos="8306"/>
        </w:tabs>
        <w:snapToGrid/>
        <w:spacing w:before="156" w:beforeLines="50" w:line="360" w:lineRule="auto"/>
        <w:ind w:left="420" w:leftChars="0" w:hanging="420" w:hangingChars="200"/>
        <w:jc w:val="both"/>
        <w:rPr>
          <w:rFonts w:hint="eastAsia" w:ascii="宋体" w:hAnsi="宋体"/>
          <w:b w:val="0"/>
          <w:bCs/>
          <w:color w:val="000000"/>
          <w:sz w:val="21"/>
          <w:szCs w:val="21"/>
        </w:rPr>
      </w:pPr>
      <w:r>
        <w:rPr>
          <w:rFonts w:hint="eastAsia" w:ascii="宋体" w:hAnsi="宋体"/>
          <w:b w:val="0"/>
          <w:bCs/>
          <w:color w:val="000000"/>
          <w:sz w:val="21"/>
          <w:szCs w:val="21"/>
          <w:lang w:val="en-US" w:eastAsia="zh-CN"/>
        </w:rPr>
        <w:t>6.1</w:t>
      </w:r>
      <w:r>
        <w:rPr>
          <w:rFonts w:hint="eastAsia" w:ascii="宋体" w:hAnsi="宋体"/>
          <w:b w:val="0"/>
          <w:bCs/>
          <w:color w:val="000000"/>
          <w:sz w:val="21"/>
          <w:szCs w:val="21"/>
        </w:rPr>
        <w:t>甲乙双方均应严格遵守本协议的约定，如有违约，违约方应对由此给守约方造成的损失承担赔偿责任。</w:t>
      </w:r>
    </w:p>
    <w:p>
      <w:pPr>
        <w:pStyle w:val="19"/>
        <w:numPr>
          <w:ilvl w:val="0"/>
          <w:numId w:val="0"/>
        </w:numPr>
        <w:pBdr>
          <w:bottom w:val="none" w:color="auto" w:sz="0" w:space="0"/>
        </w:pBdr>
        <w:tabs>
          <w:tab w:val="clear" w:pos="4153"/>
          <w:tab w:val="clear" w:pos="8306"/>
        </w:tabs>
        <w:snapToGrid/>
        <w:spacing w:before="156" w:beforeLines="50" w:line="360" w:lineRule="auto"/>
        <w:ind w:left="420" w:leftChars="0" w:hanging="420" w:hangingChars="200"/>
        <w:jc w:val="both"/>
        <w:rPr>
          <w:rFonts w:hint="eastAsia" w:ascii="宋体" w:hAnsi="宋体"/>
          <w:b w:val="0"/>
          <w:bCs/>
          <w:color w:val="000000"/>
          <w:sz w:val="21"/>
          <w:szCs w:val="21"/>
        </w:rPr>
      </w:pPr>
      <w:r>
        <w:rPr>
          <w:rFonts w:hint="eastAsia" w:ascii="宋体" w:hAnsi="宋体"/>
          <w:b w:val="0"/>
          <w:bCs/>
          <w:color w:val="000000"/>
          <w:sz w:val="21"/>
          <w:szCs w:val="21"/>
          <w:lang w:val="en-US" w:eastAsia="zh-CN"/>
        </w:rPr>
        <w:t>6.2</w:t>
      </w:r>
      <w:r>
        <w:rPr>
          <w:rFonts w:hint="eastAsia" w:ascii="宋体" w:hAnsi="宋体"/>
          <w:b w:val="0"/>
          <w:bCs/>
          <w:color w:val="000000"/>
          <w:sz w:val="21"/>
          <w:szCs w:val="21"/>
        </w:rPr>
        <w:t>如甲方未按时履行付款义务超过30日的，乙方有权解除本协议，乙方已履行义务的，甲方应付体检费用外，还应向乙方支付实际结算金额20%的违约金。</w:t>
      </w:r>
    </w:p>
    <w:p>
      <w:pPr>
        <w:pStyle w:val="19"/>
        <w:numPr>
          <w:ilvl w:val="0"/>
          <w:numId w:val="0"/>
        </w:numPr>
        <w:pBdr>
          <w:bottom w:val="none" w:color="auto" w:sz="0" w:space="0"/>
        </w:pBdr>
        <w:tabs>
          <w:tab w:val="clear" w:pos="4153"/>
          <w:tab w:val="clear" w:pos="8306"/>
        </w:tabs>
        <w:snapToGrid/>
        <w:spacing w:before="156" w:beforeLines="50" w:line="360" w:lineRule="auto"/>
        <w:ind w:left="420" w:leftChars="0" w:hanging="420" w:hangingChars="200"/>
        <w:jc w:val="both"/>
        <w:rPr>
          <w:rFonts w:hint="eastAsia" w:ascii="宋体" w:hAnsi="宋体"/>
          <w:b w:val="0"/>
          <w:bCs/>
          <w:color w:val="000000"/>
          <w:sz w:val="21"/>
          <w:szCs w:val="21"/>
        </w:rPr>
      </w:pPr>
      <w:r>
        <w:rPr>
          <w:rFonts w:hint="eastAsia" w:ascii="宋体" w:hAnsi="宋体"/>
          <w:b w:val="0"/>
          <w:bCs/>
          <w:color w:val="000000"/>
          <w:sz w:val="21"/>
          <w:szCs w:val="21"/>
          <w:lang w:val="en-US" w:eastAsia="zh-CN"/>
        </w:rPr>
        <w:t>6.3</w:t>
      </w:r>
      <w:r>
        <w:rPr>
          <w:rFonts w:hint="eastAsia" w:ascii="宋体" w:hAnsi="宋体"/>
          <w:b w:val="0"/>
          <w:bCs/>
          <w:color w:val="000000"/>
          <w:sz w:val="21"/>
          <w:szCs w:val="21"/>
        </w:rPr>
        <w:t>如一方违约导致订立本协议的根本目的无法实现的，则构成实质性违约，守约方有权以书面方式通知违约方解除协议，自通知发出之日起5个工作日内本协议自动解除，同时违约方还应对由此给守约方造成的损失承担赔偿责任。</w:t>
      </w:r>
    </w:p>
    <w:p>
      <w:pPr>
        <w:pStyle w:val="19"/>
        <w:numPr>
          <w:ilvl w:val="0"/>
          <w:numId w:val="0"/>
        </w:numPr>
        <w:pBdr>
          <w:bottom w:val="none" w:color="auto" w:sz="0" w:space="0"/>
        </w:pBdr>
        <w:tabs>
          <w:tab w:val="clear" w:pos="4153"/>
          <w:tab w:val="clear" w:pos="8306"/>
        </w:tabs>
        <w:snapToGrid/>
        <w:spacing w:before="156" w:beforeLines="50" w:line="360" w:lineRule="auto"/>
        <w:ind w:left="420" w:leftChars="0" w:hanging="420" w:hangingChars="200"/>
        <w:jc w:val="both"/>
        <w:rPr>
          <w:rFonts w:hint="eastAsia" w:ascii="宋体" w:hAnsi="宋体"/>
          <w:b w:val="0"/>
          <w:bCs/>
          <w:color w:val="000000"/>
          <w:sz w:val="21"/>
          <w:szCs w:val="21"/>
        </w:rPr>
      </w:pPr>
      <w:r>
        <w:rPr>
          <w:rFonts w:hint="eastAsia" w:ascii="宋体" w:hAnsi="宋体"/>
          <w:b w:val="0"/>
          <w:bCs/>
          <w:color w:val="000000"/>
          <w:sz w:val="21"/>
          <w:szCs w:val="21"/>
          <w:lang w:val="en-US" w:eastAsia="zh-CN"/>
        </w:rPr>
        <w:t>6.4</w:t>
      </w:r>
      <w:r>
        <w:rPr>
          <w:rFonts w:hint="eastAsia" w:ascii="宋体" w:hAnsi="宋体"/>
          <w:b w:val="0"/>
          <w:bCs/>
          <w:color w:val="000000"/>
          <w:sz w:val="21"/>
          <w:szCs w:val="21"/>
        </w:rPr>
        <w:t>本协议下乙方为甲方提供的任何服务内容，只适用于甲方员工、高管，甲方不得以任何方式销售或转让给任何第三方人员。一旦发现甲方违反该约定，甲方需向乙方承担赔偿责任，赔偿额不低于本协议总金额（以实际发生的为准）的三倍。同时，乙方有权单方面解除本协议，终止一切合作，且不再提供任何后续服务。</w:t>
      </w:r>
    </w:p>
    <w:p>
      <w:pPr>
        <w:pStyle w:val="19"/>
        <w:numPr>
          <w:ilvl w:val="1"/>
          <w:numId w:val="12"/>
        </w:numPr>
        <w:pBdr>
          <w:bottom w:val="none" w:color="auto" w:sz="0" w:space="0"/>
        </w:pBdr>
        <w:tabs>
          <w:tab w:val="clear" w:pos="4153"/>
          <w:tab w:val="clear" w:pos="8306"/>
        </w:tabs>
        <w:snapToGrid/>
        <w:spacing w:before="156" w:beforeLines="50" w:line="360" w:lineRule="auto"/>
        <w:ind w:hanging="704"/>
        <w:jc w:val="both"/>
        <w:rPr>
          <w:rFonts w:hint="eastAsia" w:ascii="宋体" w:hAnsi="宋体"/>
          <w:b/>
          <w:color w:val="000000"/>
          <w:sz w:val="21"/>
          <w:szCs w:val="21"/>
        </w:rPr>
      </w:pPr>
      <w:r>
        <w:rPr>
          <w:rFonts w:hint="eastAsia" w:ascii="宋体" w:hAnsi="宋体"/>
          <w:b/>
          <w:color w:val="000000"/>
          <w:sz w:val="21"/>
          <w:szCs w:val="21"/>
        </w:rPr>
        <w:t>反腐败合规条款</w:t>
      </w:r>
    </w:p>
    <w:p>
      <w:pPr>
        <w:pStyle w:val="19"/>
        <w:pBdr>
          <w:bottom w:val="none" w:color="auto" w:sz="0" w:space="0"/>
        </w:pBdr>
        <w:tabs>
          <w:tab w:val="clear" w:pos="4153"/>
          <w:tab w:val="clear" w:pos="8306"/>
        </w:tabs>
        <w:snapToGrid/>
        <w:spacing w:before="156" w:beforeLines="50" w:line="360" w:lineRule="auto"/>
        <w:ind w:left="424" w:leftChars="202" w:firstLine="2"/>
        <w:jc w:val="both"/>
        <w:rPr>
          <w:rFonts w:hint="eastAsia" w:ascii="宋体" w:hAnsi="宋体"/>
          <w:b/>
          <w:color w:val="000000"/>
          <w:sz w:val="21"/>
          <w:szCs w:val="21"/>
        </w:rPr>
      </w:pPr>
      <w:r>
        <w:rPr>
          <w:rFonts w:hint="eastAsia"/>
          <w:color w:val="000000"/>
          <w:sz w:val="21"/>
          <w:szCs w:val="21"/>
        </w:rPr>
        <w:t>甲乙双方承诺不曾也不会在与另一方的合作中，或者办理与另一方相关事宜过程中，对任何人实施行受贿行为；甲乙双方承诺维持准确的财务记录，真实准确地在财务账册中反映其与另一方业务有关的所有活动和费用支出。甲乙双方均有权自行或委托专业人士对另一方进行审计，包括审阅其与另一方交易有关的财务账册、与相关人员进行访谈等。甲乙双方应当履行配合另一方审计的义务，不应出现拒绝审计、隐瞒信息或提供虚假信息的情况。在任何一方出现与另一方相关的财务记录不准确时，或者出现拒绝配合另一方审计、隐瞒或提供虚假信息，或者发现存在行受贿、虚假报销、与另一方员工串通等违规行为的嫌疑时，另一方均有权中止协议履行，并视为解除协议的条件已经成就，另一方有权直接通知涉嫌违规方解除本协议。此时，涉嫌违规方无权主张另一方违约，并应当向另一方承担违约金或其他的损害赔偿责任。</w:t>
      </w:r>
    </w:p>
    <w:p>
      <w:pPr>
        <w:pStyle w:val="19"/>
        <w:numPr>
          <w:ilvl w:val="1"/>
          <w:numId w:val="12"/>
        </w:numPr>
        <w:pBdr>
          <w:bottom w:val="none" w:color="auto" w:sz="0" w:space="0"/>
        </w:pBdr>
        <w:tabs>
          <w:tab w:val="clear" w:pos="4153"/>
          <w:tab w:val="clear" w:pos="8306"/>
        </w:tabs>
        <w:snapToGrid/>
        <w:spacing w:before="156" w:beforeLines="50" w:line="360" w:lineRule="auto"/>
        <w:ind w:hanging="704"/>
        <w:jc w:val="both"/>
        <w:rPr>
          <w:rFonts w:hint="eastAsia" w:ascii="宋体" w:hAnsi="宋体"/>
          <w:b/>
          <w:color w:val="000000"/>
          <w:sz w:val="21"/>
          <w:szCs w:val="21"/>
        </w:rPr>
      </w:pPr>
      <w:r>
        <w:rPr>
          <w:rFonts w:ascii="宋体" w:hAnsi="宋体"/>
          <w:b/>
          <w:color w:val="000000"/>
          <w:sz w:val="21"/>
          <w:szCs w:val="21"/>
        </w:rPr>
        <w:t>争议解决方式</w:t>
      </w:r>
      <w:r>
        <w:rPr>
          <w:rFonts w:hint="eastAsia" w:ascii="宋体" w:hAnsi="宋体"/>
          <w:b/>
          <w:color w:val="000000"/>
          <w:sz w:val="21"/>
          <w:szCs w:val="21"/>
        </w:rPr>
        <w:t>及其他</w:t>
      </w:r>
    </w:p>
    <w:p>
      <w:pPr>
        <w:pStyle w:val="19"/>
        <w:numPr>
          <w:ilvl w:val="0"/>
          <w:numId w:val="0"/>
        </w:numPr>
        <w:pBdr>
          <w:bottom w:val="none" w:color="auto" w:sz="0" w:space="0"/>
        </w:pBdr>
        <w:tabs>
          <w:tab w:val="clear" w:pos="4153"/>
          <w:tab w:val="clear" w:pos="8306"/>
        </w:tabs>
        <w:snapToGrid/>
        <w:spacing w:before="156" w:beforeLines="50" w:line="360" w:lineRule="auto"/>
        <w:ind w:left="420" w:leftChars="0" w:hanging="420" w:hangingChars="200"/>
        <w:jc w:val="both"/>
        <w:rPr>
          <w:rFonts w:hint="eastAsia"/>
          <w:color w:val="000000"/>
          <w:sz w:val="21"/>
          <w:szCs w:val="21"/>
        </w:rPr>
      </w:pPr>
      <w:r>
        <w:rPr>
          <w:rFonts w:hint="eastAsia" w:ascii="宋体" w:hAnsi="宋体"/>
          <w:color w:val="000000"/>
          <w:sz w:val="21"/>
          <w:szCs w:val="21"/>
          <w:lang w:val="en-US" w:eastAsia="zh-CN"/>
        </w:rPr>
        <w:t>8.1</w:t>
      </w:r>
      <w:r>
        <w:rPr>
          <w:rFonts w:hint="eastAsia"/>
          <w:color w:val="000000"/>
          <w:sz w:val="21"/>
          <w:szCs w:val="21"/>
        </w:rPr>
        <w:t>乙方承诺会恪守法律法规和诊疗常规，提供业内优质的服务，切实保证乙方的检查质量。但由于健康体检属医疗行为，其结果有一定的不可预知性，而个体差异和疾病发展的窗口期以及医学技术本身的限制更增大了不可预知性。因此需要甲方参检人员积极配合乙方医生的检查，主动提供已经发现的身体异常，为乙方医生做出准确判断提供重要参考。乙方将对所有经过国家权威机构鉴定乙方存在的过错负责，但是对于因项目自主选择、医疗技术发展的限制和受检者自身配合问题所造成的意外，乙方将不承担责任。</w:t>
      </w:r>
    </w:p>
    <w:p>
      <w:pPr>
        <w:pStyle w:val="19"/>
        <w:numPr>
          <w:ilvl w:val="0"/>
          <w:numId w:val="0"/>
        </w:numPr>
        <w:pBdr>
          <w:bottom w:val="none" w:color="auto" w:sz="0" w:space="0"/>
        </w:pBdr>
        <w:tabs>
          <w:tab w:val="clear" w:pos="4153"/>
          <w:tab w:val="clear" w:pos="8306"/>
        </w:tabs>
        <w:snapToGrid/>
        <w:spacing w:before="156" w:beforeLines="50" w:line="360" w:lineRule="auto"/>
        <w:ind w:left="420" w:leftChars="0" w:hanging="420" w:hangingChars="200"/>
        <w:jc w:val="both"/>
        <w:rPr>
          <w:rFonts w:hint="eastAsia"/>
          <w:color w:val="000000"/>
          <w:sz w:val="21"/>
          <w:szCs w:val="21"/>
        </w:rPr>
      </w:pPr>
      <w:r>
        <w:rPr>
          <w:rFonts w:hint="eastAsia" w:ascii="宋体" w:hAnsi="宋体"/>
          <w:color w:val="000000"/>
          <w:sz w:val="21"/>
          <w:szCs w:val="21"/>
          <w:lang w:val="en-US" w:eastAsia="zh-CN"/>
        </w:rPr>
        <w:t>8.2</w:t>
      </w:r>
      <w:r>
        <w:rPr>
          <w:color w:val="000000"/>
          <w:sz w:val="21"/>
          <w:szCs w:val="21"/>
        </w:rPr>
        <w:t>对于因本协议的解释及执行而产生之争议，应首先由双方通过友好协商解决。如</w:t>
      </w:r>
      <w:r>
        <w:rPr>
          <w:rFonts w:hint="eastAsia"/>
          <w:color w:val="000000"/>
          <w:sz w:val="21"/>
          <w:szCs w:val="21"/>
        </w:rPr>
        <w:t>在</w:t>
      </w:r>
      <w:r>
        <w:rPr>
          <w:color w:val="000000"/>
          <w:sz w:val="21"/>
          <w:szCs w:val="21"/>
        </w:rPr>
        <w:t>争议产生之日起30日内无法解决，则任何一方均可将有关争议提交</w:t>
      </w:r>
      <w:r>
        <w:rPr>
          <w:rFonts w:hint="eastAsia"/>
          <w:color w:val="000000"/>
          <w:sz w:val="21"/>
          <w:szCs w:val="21"/>
        </w:rPr>
        <w:t>北京仲裁委员会仲裁，败诉方应承担胜诉方支付的包括律师费、仲裁费、公证费、鉴定费等在内的一切合理费用</w:t>
      </w:r>
      <w:r>
        <w:rPr>
          <w:color w:val="000000"/>
          <w:sz w:val="21"/>
          <w:szCs w:val="21"/>
        </w:rPr>
        <w:t>。</w:t>
      </w:r>
    </w:p>
    <w:p>
      <w:pPr>
        <w:pStyle w:val="19"/>
        <w:numPr>
          <w:ilvl w:val="0"/>
          <w:numId w:val="0"/>
        </w:numPr>
        <w:pBdr>
          <w:bottom w:val="none" w:color="auto" w:sz="0" w:space="0"/>
        </w:pBdr>
        <w:tabs>
          <w:tab w:val="clear" w:pos="4153"/>
          <w:tab w:val="clear" w:pos="8306"/>
        </w:tabs>
        <w:snapToGrid/>
        <w:spacing w:before="156" w:beforeLines="50" w:line="360" w:lineRule="auto"/>
        <w:ind w:leftChars="0"/>
        <w:jc w:val="both"/>
        <w:rPr>
          <w:rFonts w:hint="eastAsia"/>
          <w:color w:val="000000"/>
          <w:sz w:val="21"/>
          <w:szCs w:val="21"/>
        </w:rPr>
      </w:pPr>
      <w:r>
        <w:rPr>
          <w:rFonts w:hint="eastAsia" w:ascii="宋体" w:hAnsi="宋体"/>
          <w:color w:val="000000"/>
          <w:sz w:val="21"/>
          <w:szCs w:val="21"/>
          <w:lang w:val="en-US" w:eastAsia="zh-CN"/>
        </w:rPr>
        <w:t>8.3</w:t>
      </w:r>
      <w:r>
        <w:rPr>
          <w:color w:val="000000"/>
          <w:sz w:val="21"/>
          <w:szCs w:val="21"/>
        </w:rPr>
        <w:t>本协议及附件构成</w:t>
      </w:r>
      <w:r>
        <w:rPr>
          <w:rFonts w:hint="eastAsia"/>
          <w:color w:val="000000"/>
          <w:sz w:val="21"/>
          <w:szCs w:val="21"/>
        </w:rPr>
        <w:t>甲乙</w:t>
      </w:r>
      <w:r>
        <w:rPr>
          <w:color w:val="000000"/>
          <w:sz w:val="21"/>
          <w:szCs w:val="21"/>
        </w:rPr>
        <w:t>双方之间完整协议。未经</w:t>
      </w:r>
      <w:r>
        <w:rPr>
          <w:rFonts w:hint="eastAsia"/>
          <w:color w:val="000000"/>
          <w:sz w:val="21"/>
          <w:szCs w:val="21"/>
        </w:rPr>
        <w:t>甲乙</w:t>
      </w:r>
      <w:r>
        <w:rPr>
          <w:color w:val="000000"/>
          <w:sz w:val="21"/>
          <w:szCs w:val="21"/>
        </w:rPr>
        <w:t>双方</w:t>
      </w:r>
      <w:r>
        <w:rPr>
          <w:rFonts w:hint="eastAsia"/>
          <w:color w:val="000000"/>
          <w:sz w:val="21"/>
          <w:szCs w:val="21"/>
        </w:rPr>
        <w:t>书面</w:t>
      </w:r>
      <w:r>
        <w:rPr>
          <w:color w:val="000000"/>
          <w:sz w:val="21"/>
          <w:szCs w:val="21"/>
        </w:rPr>
        <w:t>同意</w:t>
      </w:r>
      <w:r>
        <w:rPr>
          <w:rFonts w:hint="eastAsia"/>
          <w:color w:val="000000"/>
          <w:sz w:val="21"/>
          <w:szCs w:val="21"/>
        </w:rPr>
        <w:t>，</w:t>
      </w:r>
      <w:r>
        <w:rPr>
          <w:color w:val="000000"/>
          <w:sz w:val="21"/>
          <w:szCs w:val="21"/>
        </w:rPr>
        <w:t>任何修改均属无效</w:t>
      </w:r>
      <w:r>
        <w:rPr>
          <w:rFonts w:hint="eastAsia"/>
          <w:color w:val="000000"/>
          <w:sz w:val="21"/>
          <w:szCs w:val="21"/>
        </w:rPr>
        <w:t>。</w:t>
      </w:r>
    </w:p>
    <w:p>
      <w:pPr>
        <w:pStyle w:val="19"/>
        <w:numPr>
          <w:ilvl w:val="0"/>
          <w:numId w:val="0"/>
        </w:numPr>
        <w:pBdr>
          <w:bottom w:val="none" w:color="auto" w:sz="0" w:space="0"/>
        </w:pBdr>
        <w:tabs>
          <w:tab w:val="clear" w:pos="4153"/>
          <w:tab w:val="clear" w:pos="8306"/>
        </w:tabs>
        <w:snapToGrid/>
        <w:spacing w:before="156" w:beforeLines="50" w:line="360" w:lineRule="auto"/>
        <w:ind w:leftChars="0"/>
        <w:jc w:val="both"/>
        <w:rPr>
          <w:color w:val="000000"/>
          <w:sz w:val="21"/>
          <w:szCs w:val="21"/>
        </w:rPr>
      </w:pPr>
      <w:r>
        <w:rPr>
          <w:rFonts w:hint="eastAsia" w:ascii="宋体" w:hAnsi="宋体"/>
          <w:color w:val="000000"/>
          <w:sz w:val="21"/>
          <w:szCs w:val="21"/>
          <w:lang w:val="en-US" w:eastAsia="zh-CN"/>
        </w:rPr>
        <w:t>8.4</w:t>
      </w:r>
      <w:r>
        <w:rPr>
          <w:rFonts w:hint="eastAsia"/>
          <w:color w:val="000000"/>
          <w:sz w:val="21"/>
          <w:szCs w:val="21"/>
        </w:rPr>
        <w:t>本协议的任何条款如被确认为无效，均不影响其他条款的效力。</w:t>
      </w:r>
    </w:p>
    <w:p>
      <w:pPr>
        <w:pStyle w:val="19"/>
        <w:numPr>
          <w:ilvl w:val="0"/>
          <w:numId w:val="0"/>
        </w:numPr>
        <w:pBdr>
          <w:bottom w:val="none" w:color="auto" w:sz="0" w:space="0"/>
        </w:pBdr>
        <w:tabs>
          <w:tab w:val="clear" w:pos="4153"/>
          <w:tab w:val="clear" w:pos="8306"/>
        </w:tabs>
        <w:snapToGrid/>
        <w:spacing w:before="156" w:beforeLines="50" w:line="360" w:lineRule="auto"/>
        <w:ind w:left="420" w:leftChars="0" w:hanging="420" w:hangingChars="200"/>
        <w:jc w:val="both"/>
        <w:rPr>
          <w:rFonts w:hint="eastAsia"/>
          <w:color w:val="000000"/>
          <w:sz w:val="21"/>
          <w:szCs w:val="21"/>
        </w:rPr>
      </w:pPr>
      <w:r>
        <w:rPr>
          <w:rFonts w:hint="eastAsia" w:ascii="宋体" w:hAnsi="宋体"/>
          <w:color w:val="000000"/>
          <w:sz w:val="21"/>
          <w:szCs w:val="21"/>
          <w:lang w:val="en-US" w:eastAsia="zh-CN"/>
        </w:rPr>
        <w:t>8.5</w:t>
      </w:r>
      <w:r>
        <w:rPr>
          <w:color w:val="000000"/>
          <w:sz w:val="21"/>
          <w:szCs w:val="21"/>
        </w:rPr>
        <w:t>本协议以中文签署，</w:t>
      </w:r>
      <w:r>
        <w:rPr>
          <w:rFonts w:hint="eastAsia"/>
          <w:color w:val="000000"/>
          <w:sz w:val="21"/>
          <w:szCs w:val="21"/>
        </w:rPr>
        <w:t>自甲乙双方加盖公章或合同专用章之日起生效，</w:t>
      </w:r>
      <w:r>
        <w:rPr>
          <w:color w:val="000000"/>
          <w:sz w:val="21"/>
          <w:szCs w:val="21"/>
        </w:rPr>
        <w:t>一式</w:t>
      </w:r>
      <w:r>
        <w:rPr>
          <w:rFonts w:hint="eastAsia"/>
          <w:color w:val="000000"/>
          <w:sz w:val="21"/>
          <w:szCs w:val="21"/>
          <w:lang w:val="en-US" w:eastAsia="zh-CN"/>
        </w:rPr>
        <w:t>贰</w:t>
      </w:r>
      <w:r>
        <w:rPr>
          <w:color w:val="000000"/>
          <w:sz w:val="21"/>
          <w:szCs w:val="21"/>
        </w:rPr>
        <w:t>份，甲乙双方各执</w:t>
      </w:r>
      <w:r>
        <w:rPr>
          <w:rFonts w:hint="eastAsia"/>
          <w:color w:val="000000"/>
          <w:sz w:val="21"/>
          <w:szCs w:val="21"/>
          <w:lang w:val="en-US" w:eastAsia="zh-CN"/>
        </w:rPr>
        <w:t>壹</w:t>
      </w:r>
      <w:r>
        <w:rPr>
          <w:color w:val="000000"/>
          <w:sz w:val="21"/>
          <w:szCs w:val="21"/>
        </w:rPr>
        <w:t>份</w:t>
      </w:r>
      <w:r>
        <w:rPr>
          <w:rFonts w:hint="eastAsia"/>
          <w:color w:val="000000"/>
          <w:sz w:val="21"/>
          <w:szCs w:val="21"/>
        </w:rPr>
        <w:t>，</w:t>
      </w:r>
      <w:r>
        <w:rPr>
          <w:color w:val="000000"/>
          <w:sz w:val="21"/>
          <w:szCs w:val="21"/>
        </w:rPr>
        <w:t>具有同等法律效力。</w:t>
      </w:r>
    </w:p>
    <w:p>
      <w:pPr>
        <w:pStyle w:val="19"/>
        <w:numPr>
          <w:ilvl w:val="0"/>
          <w:numId w:val="0"/>
        </w:numPr>
        <w:pBdr>
          <w:bottom w:val="none" w:color="auto" w:sz="0" w:space="0"/>
        </w:pBdr>
        <w:tabs>
          <w:tab w:val="clear" w:pos="4153"/>
          <w:tab w:val="clear" w:pos="8306"/>
        </w:tabs>
        <w:snapToGrid/>
        <w:spacing w:before="156" w:beforeLines="50" w:line="360" w:lineRule="auto"/>
        <w:ind w:leftChars="0"/>
        <w:jc w:val="both"/>
        <w:rPr>
          <w:rFonts w:hint="eastAsia"/>
          <w:color w:val="000000"/>
          <w:sz w:val="21"/>
          <w:szCs w:val="21"/>
        </w:rPr>
      </w:pPr>
      <w:r>
        <w:rPr>
          <w:rFonts w:hint="eastAsia" w:ascii="宋体" w:hAnsi="宋体"/>
          <w:color w:val="000000"/>
          <w:sz w:val="21"/>
          <w:szCs w:val="21"/>
          <w:lang w:val="en-US" w:eastAsia="zh-CN"/>
        </w:rPr>
        <w:t>8.6</w:t>
      </w:r>
      <w:r>
        <w:rPr>
          <w:rFonts w:hint="eastAsia"/>
          <w:color w:val="000000"/>
          <w:sz w:val="21"/>
          <w:szCs w:val="21"/>
        </w:rPr>
        <w:t>附件</w:t>
      </w:r>
    </w:p>
    <w:p>
      <w:pPr>
        <w:spacing w:line="360" w:lineRule="auto"/>
        <w:ind w:left="360"/>
        <w:rPr>
          <w:rFonts w:eastAsia="楷体_GB2312"/>
          <w:bCs/>
          <w:color w:val="000000"/>
          <w:sz w:val="24"/>
          <w:szCs w:val="24"/>
        </w:rPr>
      </w:pPr>
      <w:r>
        <w:rPr>
          <w:rFonts w:hint="eastAsia" w:eastAsia="楷体_GB2312"/>
          <w:bCs/>
          <w:color w:val="000000"/>
          <w:sz w:val="24"/>
          <w:szCs w:val="24"/>
        </w:rPr>
        <w:br w:type="textWrapping"/>
      </w:r>
    </w:p>
    <w:p>
      <w:pPr>
        <w:spacing w:line="360" w:lineRule="auto"/>
        <w:ind w:left="360"/>
        <w:rPr>
          <w:rFonts w:hint="eastAsia" w:eastAsia="楷体_GB2312"/>
          <w:bCs/>
          <w:color w:val="000000"/>
          <w:sz w:val="24"/>
          <w:szCs w:val="24"/>
        </w:rPr>
      </w:pPr>
    </w:p>
    <w:p>
      <w:pPr>
        <w:spacing w:line="360" w:lineRule="auto"/>
        <w:ind w:left="360"/>
        <w:rPr>
          <w:rFonts w:hint="eastAsia" w:eastAsia="楷体_GB2312"/>
          <w:bCs/>
          <w:color w:val="000000"/>
          <w:sz w:val="24"/>
          <w:szCs w:val="24"/>
        </w:rPr>
      </w:pPr>
    </w:p>
    <w:p>
      <w:pPr>
        <w:spacing w:line="360" w:lineRule="auto"/>
        <w:rPr>
          <w:rFonts w:hint="eastAsia" w:eastAsia="楷体_GB2312"/>
          <w:bCs/>
          <w:color w:val="000000"/>
          <w:sz w:val="24"/>
          <w:szCs w:val="24"/>
        </w:rPr>
      </w:pPr>
    </w:p>
    <w:p>
      <w:pPr>
        <w:spacing w:after="156" w:afterLines="50" w:line="360" w:lineRule="auto"/>
        <w:ind w:firstLine="420" w:firstLineChars="200"/>
        <w:rPr>
          <w:rFonts w:hint="eastAsia" w:ascii="宋体" w:hAnsi="宋体" w:eastAsia="宋体" w:cs="Times New Roman"/>
          <w:bCs/>
          <w:color w:val="000000"/>
          <w:szCs w:val="21"/>
        </w:rPr>
      </w:pPr>
      <w:r>
        <w:rPr>
          <w:rFonts w:hint="eastAsia" w:ascii="宋体" w:hAnsi="宋体"/>
          <w:bCs/>
          <w:color w:val="000000"/>
          <w:szCs w:val="21"/>
        </w:rPr>
        <w:t>甲方：</w:t>
      </w:r>
      <w:r>
        <w:rPr>
          <w:rFonts w:hint="eastAsia" w:ascii="宋体" w:hAnsi="宋体" w:eastAsia="宋体" w:cs="Times New Roman"/>
          <w:bCs/>
          <w:color w:val="000000"/>
          <w:szCs w:val="21"/>
        </w:rPr>
        <w:t xml:space="preserve">  </w:t>
      </w:r>
      <w:r>
        <w:rPr>
          <w:rFonts w:hint="eastAsia" w:ascii="宋体" w:hAnsi="宋体"/>
          <w:bCs/>
          <w:color w:val="000000"/>
          <w:szCs w:val="21"/>
        </w:rPr>
        <w:t xml:space="preserve">       </w:t>
      </w:r>
      <w:r>
        <w:rPr>
          <w:rFonts w:hint="eastAsia" w:ascii="宋体" w:hAnsi="宋体"/>
          <w:bCs/>
          <w:color w:val="000000"/>
          <w:szCs w:val="21"/>
          <w:lang w:val="en-US" w:eastAsia="zh-CN"/>
        </w:rPr>
        <w:t xml:space="preserve">                                   </w:t>
      </w:r>
      <w:r>
        <w:rPr>
          <w:rFonts w:hint="eastAsia" w:ascii="宋体" w:hAnsi="宋体"/>
          <w:bCs/>
          <w:color w:val="000000"/>
          <w:szCs w:val="21"/>
        </w:rPr>
        <w:t>乙方：</w:t>
      </w:r>
    </w:p>
    <w:p>
      <w:pPr>
        <w:spacing w:after="156" w:afterLines="50" w:line="360" w:lineRule="auto"/>
        <w:ind w:firstLine="420" w:firstLineChars="200"/>
        <w:rPr>
          <w:rFonts w:hint="eastAsia" w:ascii="宋体" w:hAnsi="宋体"/>
          <w:bCs/>
          <w:color w:val="000000"/>
          <w:szCs w:val="21"/>
        </w:rPr>
      </w:pPr>
      <w:r>
        <w:rPr>
          <w:rFonts w:hint="eastAsia" w:ascii="宋体" w:hAnsi="宋体"/>
          <w:bCs/>
          <w:color w:val="000000"/>
          <w:szCs w:val="21"/>
        </w:rPr>
        <w:t>盖章：                                             盖章：</w:t>
      </w:r>
    </w:p>
    <w:p>
      <w:pPr>
        <w:spacing w:line="360" w:lineRule="auto"/>
        <w:ind w:firstLine="420" w:firstLineChars="200"/>
        <w:rPr>
          <w:rFonts w:ascii="宋体" w:hAnsi="宋体"/>
          <w:bCs/>
          <w:color w:val="000000"/>
          <w:szCs w:val="21"/>
        </w:rPr>
      </w:pPr>
      <w:r>
        <w:rPr>
          <w:rFonts w:hint="eastAsia" w:ascii="宋体" w:hAnsi="宋体"/>
          <w:bCs/>
          <w:color w:val="000000"/>
          <w:szCs w:val="21"/>
        </w:rPr>
        <w:t xml:space="preserve">法定代表人或授权代表（签名）：                 </w:t>
      </w:r>
      <w:r>
        <w:rPr>
          <w:rFonts w:ascii="宋体" w:hAnsi="宋体"/>
          <w:bCs/>
          <w:color w:val="000000"/>
          <w:szCs w:val="21"/>
        </w:rPr>
        <w:t xml:space="preserve">    </w:t>
      </w:r>
      <w:r>
        <w:rPr>
          <w:rFonts w:hint="eastAsia" w:ascii="宋体" w:hAnsi="宋体"/>
          <w:bCs/>
          <w:color w:val="000000"/>
          <w:szCs w:val="21"/>
        </w:rPr>
        <w:t>法定代表人或授权代表（签名）：</w:t>
      </w:r>
    </w:p>
    <w:p>
      <w:pPr>
        <w:spacing w:line="360" w:lineRule="auto"/>
        <w:ind w:firstLine="420" w:firstLineChars="200"/>
        <w:rPr>
          <w:rFonts w:ascii="宋体" w:hAnsi="宋体"/>
          <w:bCs/>
          <w:color w:val="000000"/>
          <w:szCs w:val="21"/>
        </w:rPr>
      </w:pPr>
    </w:p>
    <w:p>
      <w:pPr>
        <w:spacing w:line="360" w:lineRule="auto"/>
        <w:ind w:firstLine="420" w:firstLineChars="200"/>
        <w:rPr>
          <w:rFonts w:ascii="楷体_GB2312" w:hAnsi="宋体" w:eastAsia="楷体_GB2312"/>
          <w:b/>
          <w:color w:val="000000"/>
          <w:sz w:val="24"/>
          <w:szCs w:val="24"/>
        </w:rPr>
      </w:pPr>
      <w:r>
        <w:rPr>
          <w:rFonts w:hint="eastAsia" w:ascii="宋体" w:hAnsi="宋体"/>
          <w:bCs/>
          <w:color w:val="000000"/>
          <w:szCs w:val="21"/>
        </w:rPr>
        <w:t>日期:</w:t>
      </w:r>
      <w:r>
        <w:rPr>
          <w:rFonts w:ascii="宋体" w:hAnsi="宋体"/>
          <w:bCs/>
          <w:color w:val="000000"/>
          <w:szCs w:val="21"/>
        </w:rPr>
        <w:t xml:space="preserve">                                              </w:t>
      </w:r>
      <w:r>
        <w:rPr>
          <w:rFonts w:hint="eastAsia" w:ascii="宋体" w:hAnsi="宋体"/>
          <w:bCs/>
          <w:color w:val="000000"/>
          <w:szCs w:val="21"/>
        </w:rPr>
        <w:t>日期：</w:t>
      </w:r>
      <w:r>
        <w:rPr>
          <w:rFonts w:hint="eastAsia" w:ascii="楷体_GB2312" w:hAnsi="宋体" w:eastAsia="楷体_GB2312"/>
          <w:b/>
          <w:color w:val="000000"/>
          <w:sz w:val="24"/>
          <w:szCs w:val="24"/>
        </w:rPr>
        <w:t xml:space="preserve"> </w:t>
      </w:r>
    </w:p>
    <w:p>
      <w:pPr>
        <w:numPr>
          <w:ilvl w:val="0"/>
          <w:numId w:val="0"/>
        </w:numPr>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16"/>
        <w:rPr>
          <w:rFonts w:hint="eastAsia"/>
          <w:lang w:val="en-US" w:eastAsia="zh-CN"/>
        </w:rPr>
      </w:pPr>
    </w:p>
    <w:p>
      <w:pPr>
        <w:pStyle w:val="4"/>
        <w:numPr>
          <w:ilvl w:val="0"/>
          <w:numId w:val="14"/>
        </w:numPr>
        <w:ind w:firstLine="2570" w:firstLineChars="800"/>
        <w:jc w:val="both"/>
        <w:rPr>
          <w:rFonts w:hint="eastAsia"/>
        </w:rPr>
      </w:pPr>
      <w:r>
        <w:rPr>
          <w:rFonts w:hint="eastAsia"/>
        </w:rPr>
        <w:t xml:space="preserve"> 附件-响应文件格式</w:t>
      </w:r>
      <w:bookmarkEnd w:id="10"/>
      <w:bookmarkEnd w:id="11"/>
      <w:bookmarkEnd w:id="12"/>
      <w:bookmarkEnd w:id="13"/>
    </w:p>
    <w:p>
      <w:pPr>
        <w:rPr>
          <w:rFonts w:hint="eastAsia"/>
        </w:rPr>
      </w:pPr>
    </w:p>
    <w:p>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pPr>
        <w:ind w:firstLine="420" w:firstLineChars="200"/>
        <w:rPr>
          <w:rFonts w:hint="eastAsia" w:ascii="宋体" w:hAnsi="宋体"/>
          <w:color w:val="000000"/>
          <w:szCs w:val="21"/>
          <w:lang w:val="zh-CN"/>
        </w:rPr>
      </w:pPr>
      <w:r>
        <w:rPr>
          <w:rFonts w:hint="eastAsia" w:ascii="宋体" w:hAnsi="宋体"/>
          <w:color w:val="000000"/>
          <w:szCs w:val="21"/>
          <w:lang w:val="zh-CN"/>
        </w:rPr>
        <w:t>1、供应商按照本部分的顺序编制响应文件，编制中涉及格式资料的，应按照本部分提供的内容和格式（所有表格的格式可扩展）填写提交。</w:t>
      </w:r>
    </w:p>
    <w:p>
      <w:pPr>
        <w:ind w:firstLine="420" w:firstLineChars="200"/>
        <w:rPr>
          <w:rFonts w:hint="eastAsia" w:ascii="宋体" w:hAnsi="宋体"/>
          <w:color w:val="000000"/>
          <w:szCs w:val="21"/>
          <w:lang w:val="zh-CN"/>
        </w:rPr>
      </w:pPr>
      <w:r>
        <w:rPr>
          <w:rFonts w:hint="eastAsia" w:ascii="宋体" w:hAnsi="宋体"/>
          <w:color w:val="000000"/>
          <w:szCs w:val="21"/>
          <w:lang w:val="zh-CN"/>
        </w:rPr>
        <w:t>2、对于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
          <w:bCs/>
          <w:color w:val="000000"/>
          <w:szCs w:val="21"/>
          <w:lang w:val="zh-CN"/>
        </w:rPr>
        <w:t>否则响应无效</w:t>
      </w:r>
      <w:r>
        <w:rPr>
          <w:rFonts w:hint="eastAsia" w:ascii="宋体" w:hAnsi="宋体"/>
          <w:color w:val="000000"/>
          <w:szCs w:val="21"/>
          <w:lang w:val="zh-CN"/>
        </w:rPr>
        <w:t>。未标记“实质性格式”的文件和竞争性磋商文件未提供格式的内容，可由供应商自行编写。</w:t>
      </w:r>
    </w:p>
    <w:p>
      <w:pPr>
        <w:ind w:firstLine="420" w:firstLineChars="200"/>
        <w:rPr>
          <w:rFonts w:hint="eastAsia" w:ascii="宋体" w:hAnsi="宋体"/>
          <w:color w:val="000000"/>
          <w:szCs w:val="21"/>
          <w:lang w:val="zh-CN"/>
        </w:rPr>
      </w:pPr>
      <w:r>
        <w:rPr>
          <w:rFonts w:hint="eastAsia" w:ascii="宋体" w:hAnsi="宋体"/>
          <w:color w:val="000000"/>
          <w:szCs w:val="21"/>
          <w:lang w:val="zh-CN"/>
        </w:rPr>
        <w:t>3、全部声明和问题的回答及所附材料必须是真实的、准确的和完整的。</w:t>
      </w:r>
    </w:p>
    <w:p>
      <w:pPr>
        <w:ind w:firstLine="420" w:firstLineChars="200"/>
        <w:rPr>
          <w:rFonts w:hint="eastAsia" w:ascii="宋体" w:hAnsi="宋体"/>
          <w:color w:val="000000"/>
          <w:szCs w:val="21"/>
          <w:lang w:val="zh-CN"/>
        </w:rPr>
      </w:pPr>
    </w:p>
    <w:p>
      <w:pPr>
        <w:pStyle w:val="57"/>
        <w:snapToGrid w:val="0"/>
        <w:spacing w:after="240" w:afterLines="100" w:line="360" w:lineRule="auto"/>
        <w:jc w:val="both"/>
        <w:outlineLvl w:val="9"/>
        <w:rPr>
          <w:rFonts w:cs="Arial"/>
          <w:bCs w:val="0"/>
          <w:sz w:val="22"/>
          <w:szCs w:val="22"/>
        </w:rPr>
      </w:pPr>
      <w:bookmarkStart w:id="18" w:name="_Toc96755236"/>
      <w:bookmarkStart w:id="19" w:name="_Toc389141967"/>
      <w:bookmarkStart w:id="20" w:name="_Toc10307"/>
      <w:bookmarkStart w:id="21" w:name="_Toc448322558"/>
      <w:bookmarkStart w:id="22" w:name="_Toc235856998"/>
      <w:bookmarkStart w:id="23" w:name="_Toc10771"/>
      <w:bookmarkStart w:id="24" w:name="_Toc85430467"/>
      <w:bookmarkStart w:id="25" w:name="_Toc12470"/>
      <w:bookmarkStart w:id="26" w:name="_Toc508200447"/>
      <w:bookmarkStart w:id="27" w:name="_Toc96755235"/>
      <w:bookmarkStart w:id="28" w:name="_Toc127599610"/>
    </w:p>
    <w:p>
      <w:pPr>
        <w:pStyle w:val="57"/>
        <w:snapToGrid w:val="0"/>
        <w:spacing w:after="240" w:afterLines="100" w:line="360" w:lineRule="auto"/>
        <w:outlineLvl w:val="9"/>
        <w:rPr>
          <w:rFonts w:hint="eastAsia" w:cs="黑体"/>
          <w:bCs w:val="0"/>
          <w:sz w:val="22"/>
          <w:szCs w:val="22"/>
        </w:rPr>
      </w:pPr>
    </w:p>
    <w:p>
      <w:pPr>
        <w:pStyle w:val="57"/>
        <w:snapToGrid w:val="0"/>
        <w:spacing w:after="240" w:afterLines="100" w:line="360" w:lineRule="auto"/>
        <w:outlineLvl w:val="9"/>
        <w:rPr>
          <w:rFonts w:hint="eastAsia" w:cs="黑体"/>
          <w:bCs w:val="0"/>
          <w:sz w:val="22"/>
          <w:szCs w:val="22"/>
        </w:rPr>
      </w:pPr>
    </w:p>
    <w:p>
      <w:pPr>
        <w:pStyle w:val="57"/>
        <w:snapToGrid w:val="0"/>
        <w:spacing w:after="240" w:afterLines="100" w:line="360" w:lineRule="auto"/>
        <w:outlineLvl w:val="9"/>
        <w:rPr>
          <w:rFonts w:hint="eastAsia" w:cs="黑体"/>
          <w:bCs w:val="0"/>
          <w:sz w:val="22"/>
          <w:szCs w:val="22"/>
        </w:rPr>
      </w:pPr>
    </w:p>
    <w:p>
      <w:pPr>
        <w:pStyle w:val="57"/>
        <w:snapToGrid w:val="0"/>
        <w:spacing w:after="240" w:afterLines="100" w:line="360" w:lineRule="auto"/>
        <w:outlineLvl w:val="9"/>
        <w:rPr>
          <w:rFonts w:hint="eastAsia" w:cs="黑体"/>
          <w:bCs w:val="0"/>
          <w:sz w:val="22"/>
          <w:szCs w:val="22"/>
        </w:rPr>
      </w:pPr>
    </w:p>
    <w:p>
      <w:pPr>
        <w:pStyle w:val="57"/>
        <w:snapToGrid w:val="0"/>
        <w:spacing w:after="240" w:afterLines="100" w:line="360" w:lineRule="auto"/>
        <w:outlineLvl w:val="9"/>
        <w:rPr>
          <w:rFonts w:hint="eastAsia" w:cs="黑体"/>
          <w:bCs w:val="0"/>
          <w:sz w:val="22"/>
          <w:szCs w:val="22"/>
        </w:rPr>
      </w:pPr>
    </w:p>
    <w:p>
      <w:pPr>
        <w:pStyle w:val="57"/>
        <w:snapToGrid w:val="0"/>
        <w:spacing w:after="240" w:afterLines="100" w:line="360" w:lineRule="auto"/>
        <w:outlineLvl w:val="9"/>
        <w:rPr>
          <w:rFonts w:hint="eastAsia" w:cs="黑体"/>
          <w:bCs w:val="0"/>
          <w:sz w:val="22"/>
          <w:szCs w:val="22"/>
        </w:rPr>
      </w:pPr>
    </w:p>
    <w:p>
      <w:pPr>
        <w:pStyle w:val="57"/>
        <w:snapToGrid w:val="0"/>
        <w:spacing w:after="240" w:afterLines="100" w:line="360" w:lineRule="auto"/>
        <w:outlineLvl w:val="9"/>
        <w:rPr>
          <w:rFonts w:hint="eastAsia" w:cs="黑体"/>
          <w:bCs w:val="0"/>
          <w:sz w:val="22"/>
          <w:szCs w:val="22"/>
        </w:rPr>
      </w:pPr>
    </w:p>
    <w:p>
      <w:pPr>
        <w:pStyle w:val="57"/>
        <w:snapToGrid w:val="0"/>
        <w:spacing w:after="240" w:afterLines="100" w:line="360" w:lineRule="auto"/>
        <w:outlineLvl w:val="9"/>
        <w:rPr>
          <w:rFonts w:hint="eastAsia" w:cs="黑体"/>
          <w:bCs w:val="0"/>
          <w:sz w:val="22"/>
          <w:szCs w:val="22"/>
        </w:rPr>
      </w:pPr>
    </w:p>
    <w:p>
      <w:pPr>
        <w:pStyle w:val="57"/>
        <w:snapToGrid w:val="0"/>
        <w:spacing w:after="240" w:afterLines="100" w:line="360" w:lineRule="auto"/>
        <w:outlineLvl w:val="9"/>
        <w:rPr>
          <w:rFonts w:hint="eastAsia" w:cs="黑体"/>
          <w:bCs w:val="0"/>
          <w:sz w:val="22"/>
          <w:szCs w:val="22"/>
        </w:rPr>
      </w:pPr>
    </w:p>
    <w:p>
      <w:pPr>
        <w:pStyle w:val="57"/>
        <w:snapToGrid w:val="0"/>
        <w:spacing w:after="240" w:afterLines="100" w:line="360" w:lineRule="auto"/>
        <w:outlineLvl w:val="9"/>
        <w:rPr>
          <w:rFonts w:hint="eastAsia" w:cs="黑体"/>
          <w:bCs w:val="0"/>
          <w:sz w:val="22"/>
          <w:szCs w:val="22"/>
        </w:rPr>
      </w:pPr>
    </w:p>
    <w:p>
      <w:pPr>
        <w:pStyle w:val="57"/>
        <w:snapToGrid w:val="0"/>
        <w:spacing w:after="240" w:afterLines="100" w:line="360" w:lineRule="auto"/>
        <w:outlineLvl w:val="9"/>
        <w:rPr>
          <w:rFonts w:hint="eastAsia" w:cs="黑体"/>
          <w:bCs w:val="0"/>
          <w:sz w:val="22"/>
          <w:szCs w:val="22"/>
        </w:rPr>
      </w:pPr>
    </w:p>
    <w:p>
      <w:pPr>
        <w:pStyle w:val="57"/>
        <w:snapToGrid w:val="0"/>
        <w:spacing w:after="240" w:afterLines="100" w:line="360" w:lineRule="auto"/>
        <w:outlineLvl w:val="9"/>
        <w:rPr>
          <w:rFonts w:hint="eastAsia" w:cs="黑体"/>
          <w:bCs w:val="0"/>
          <w:sz w:val="22"/>
          <w:szCs w:val="22"/>
        </w:rPr>
      </w:pPr>
    </w:p>
    <w:p>
      <w:pPr>
        <w:pStyle w:val="57"/>
        <w:snapToGrid w:val="0"/>
        <w:spacing w:after="240" w:afterLines="100" w:line="360" w:lineRule="auto"/>
        <w:outlineLvl w:val="9"/>
        <w:rPr>
          <w:rFonts w:hint="eastAsia" w:cs="黑体"/>
          <w:bCs w:val="0"/>
          <w:sz w:val="22"/>
          <w:szCs w:val="22"/>
        </w:rPr>
      </w:pPr>
    </w:p>
    <w:p>
      <w:pPr>
        <w:pStyle w:val="57"/>
        <w:snapToGrid w:val="0"/>
        <w:spacing w:after="240" w:afterLines="100" w:line="360" w:lineRule="auto"/>
        <w:outlineLvl w:val="9"/>
        <w:rPr>
          <w:rFonts w:hint="eastAsia" w:cs="黑体"/>
          <w:bCs w:val="0"/>
          <w:sz w:val="22"/>
          <w:szCs w:val="22"/>
        </w:rPr>
      </w:pPr>
    </w:p>
    <w:p>
      <w:pPr>
        <w:pStyle w:val="57"/>
        <w:snapToGrid w:val="0"/>
        <w:spacing w:after="240" w:afterLines="100" w:line="360" w:lineRule="auto"/>
        <w:outlineLvl w:val="9"/>
        <w:rPr>
          <w:rFonts w:hint="eastAsia" w:cs="黑体"/>
          <w:bCs w:val="0"/>
          <w:sz w:val="22"/>
          <w:szCs w:val="22"/>
        </w:rPr>
      </w:pPr>
    </w:p>
    <w:bookmarkEnd w:id="14"/>
    <w:bookmarkEnd w:id="15"/>
    <w:bookmarkEnd w:id="18"/>
    <w:bookmarkEnd w:id="19"/>
    <w:bookmarkEnd w:id="20"/>
    <w:bookmarkEnd w:id="21"/>
    <w:bookmarkEnd w:id="22"/>
    <w:bookmarkEnd w:id="23"/>
    <w:bookmarkEnd w:id="24"/>
    <w:bookmarkEnd w:id="25"/>
    <w:bookmarkEnd w:id="26"/>
    <w:bookmarkEnd w:id="27"/>
    <w:bookmarkEnd w:id="28"/>
    <w:p>
      <w:pPr>
        <w:pStyle w:val="57"/>
        <w:snapToGrid w:val="0"/>
        <w:spacing w:after="240" w:afterLines="100" w:line="360" w:lineRule="auto"/>
        <w:outlineLvl w:val="9"/>
        <w:rPr>
          <w:bCs w:val="0"/>
          <w:sz w:val="22"/>
          <w:szCs w:val="22"/>
        </w:rPr>
      </w:pPr>
      <w:r>
        <w:rPr>
          <w:rFonts w:hint="eastAsia" w:cs="黑体"/>
          <w:bCs w:val="0"/>
          <w:sz w:val="22"/>
          <w:szCs w:val="22"/>
        </w:rPr>
        <w:t>附件</w:t>
      </w:r>
      <w:r>
        <w:rPr>
          <w:rFonts w:cs="Arial"/>
          <w:bCs w:val="0"/>
          <w:sz w:val="22"/>
          <w:szCs w:val="22"/>
        </w:rPr>
        <w:t xml:space="preserve">1  </w:t>
      </w:r>
      <w:r>
        <w:rPr>
          <w:rFonts w:hint="eastAsia" w:cs="黑体"/>
          <w:bCs w:val="0"/>
          <w:sz w:val="22"/>
          <w:szCs w:val="22"/>
        </w:rPr>
        <w:t>报价一览表</w:t>
      </w:r>
    </w:p>
    <w:p>
      <w:pPr>
        <w:spacing w:line="360" w:lineRule="auto"/>
        <w:ind w:firstLine="420" w:firstLineChars="200"/>
        <w:rPr>
          <w:rFonts w:hint="eastAsia"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项目名称：北京按摩医院职工体检服务项目</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 xml:space="preserve">项目编号：BJAMYY-2024-06-02  </w:t>
      </w:r>
    </w:p>
    <w:p>
      <w:pPr>
        <w:spacing w:line="360" w:lineRule="auto"/>
        <w:ind w:firstLine="420" w:firstLineChars="200"/>
        <w:rPr>
          <w:rFonts w:hint="eastAsia" w:asciiTheme="minorEastAsia" w:hAnsiTheme="minorEastAsia" w:cstheme="minorBidi"/>
          <w:kern w:val="0"/>
          <w:sz w:val="21"/>
          <w:szCs w:val="21"/>
          <w:u w:val="none"/>
          <w:lang w:val="zh-CN" w:eastAsia="zh-CN" w:bidi="ar-SA"/>
        </w:rPr>
      </w:pPr>
      <w:r>
        <w:rPr>
          <w:rFonts w:hint="eastAsia" w:asciiTheme="minorEastAsia" w:hAnsiTheme="minorEastAsia" w:cstheme="minorBidi"/>
          <w:kern w:val="0"/>
          <w:sz w:val="21"/>
          <w:szCs w:val="21"/>
          <w:u w:val="none"/>
          <w:lang w:val="zh-CN" w:eastAsia="zh-CN" w:bidi="ar-SA"/>
        </w:rPr>
        <w:t>根据本项目实际情况，本项目</w:t>
      </w:r>
      <w:r>
        <w:rPr>
          <w:rFonts w:hint="eastAsia" w:asciiTheme="minorEastAsia" w:hAnsiTheme="minorEastAsia" w:cstheme="minorBidi"/>
          <w:kern w:val="0"/>
          <w:sz w:val="21"/>
          <w:szCs w:val="21"/>
          <w:u w:val="none"/>
          <w:lang w:val="en-US" w:eastAsia="zh-CN" w:bidi="ar-SA"/>
        </w:rPr>
        <w:t>费用</w:t>
      </w:r>
      <w:r>
        <w:rPr>
          <w:rFonts w:hint="eastAsia" w:asciiTheme="minorEastAsia" w:hAnsiTheme="minorEastAsia" w:cstheme="minorBidi"/>
          <w:kern w:val="0"/>
          <w:sz w:val="21"/>
          <w:szCs w:val="21"/>
          <w:u w:val="none"/>
          <w:lang w:val="zh-CN" w:eastAsia="zh-CN" w:bidi="ar-SA"/>
        </w:rPr>
        <w:t>如下：</w:t>
      </w:r>
    </w:p>
    <w:tbl>
      <w:tblPr>
        <w:tblStyle w:val="26"/>
        <w:tblW w:w="9366" w:type="dxa"/>
        <w:tblInd w:w="91" w:type="dxa"/>
        <w:tblLayout w:type="fixed"/>
        <w:tblCellMar>
          <w:top w:w="0" w:type="dxa"/>
          <w:left w:w="108" w:type="dxa"/>
          <w:bottom w:w="0" w:type="dxa"/>
          <w:right w:w="108" w:type="dxa"/>
        </w:tblCellMar>
      </w:tblPr>
      <w:tblGrid>
        <w:gridCol w:w="689"/>
        <w:gridCol w:w="3536"/>
        <w:gridCol w:w="3378"/>
        <w:gridCol w:w="1763"/>
      </w:tblGrid>
      <w:tr>
        <w:trPr>
          <w:trHeight w:val="590" w:hRule="exact"/>
        </w:trPr>
        <w:tc>
          <w:tcPr>
            <w:tcW w:w="68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zh-CN"/>
              </w:rPr>
              <w:t>序号</w:t>
            </w:r>
          </w:p>
        </w:tc>
        <w:tc>
          <w:tcPr>
            <w:tcW w:w="3536" w:type="dxa"/>
            <w:tcBorders>
              <w:top w:val="single" w:color="auto" w:sz="8" w:space="0"/>
              <w:left w:val="nil"/>
              <w:bottom w:val="single" w:color="auto" w:sz="8" w:space="0"/>
              <w:right w:val="single" w:color="auto" w:sz="8" w:space="0"/>
            </w:tcBorders>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项目名称</w:t>
            </w:r>
          </w:p>
        </w:tc>
        <w:tc>
          <w:tcPr>
            <w:tcW w:w="3378" w:type="dxa"/>
            <w:tcBorders>
              <w:top w:val="single" w:color="auto" w:sz="8" w:space="0"/>
              <w:left w:val="nil"/>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en-US" w:eastAsia="zh-CN"/>
              </w:rPr>
              <w:t>总价金额</w:t>
            </w:r>
            <w:r>
              <w:rPr>
                <w:rFonts w:hint="eastAsia" w:ascii="宋体" w:hAnsi="宋体"/>
                <w:color w:val="000000"/>
                <w:szCs w:val="21"/>
                <w:lang w:val="zh-CN"/>
              </w:rPr>
              <w:t>（元）</w:t>
            </w:r>
          </w:p>
        </w:tc>
        <w:tc>
          <w:tcPr>
            <w:tcW w:w="1763" w:type="dxa"/>
            <w:tcBorders>
              <w:top w:val="single" w:color="auto" w:sz="8" w:space="0"/>
              <w:left w:val="nil"/>
              <w:bottom w:val="single" w:color="auto" w:sz="8" w:space="0"/>
              <w:right w:val="single" w:color="auto" w:sz="8" w:space="0"/>
            </w:tcBorders>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备注</w:t>
            </w:r>
          </w:p>
        </w:tc>
      </w:tr>
      <w:tr>
        <w:tblPrEx>
          <w:tblCellMar>
            <w:top w:w="0" w:type="dxa"/>
            <w:left w:w="108" w:type="dxa"/>
            <w:bottom w:w="0" w:type="dxa"/>
            <w:right w:w="108" w:type="dxa"/>
          </w:tblCellMar>
        </w:tblPrEx>
        <w:trPr>
          <w:trHeight w:val="1727" w:hRule="exact"/>
        </w:trPr>
        <w:tc>
          <w:tcPr>
            <w:tcW w:w="689" w:type="dxa"/>
            <w:tcBorders>
              <w:top w:val="nil"/>
              <w:left w:val="single" w:color="auto" w:sz="8" w:space="0"/>
              <w:bottom w:val="single" w:color="auto" w:sz="8" w:space="0"/>
              <w:right w:val="single" w:color="auto" w:sz="8" w:space="0"/>
            </w:tcBorders>
            <w:vAlign w:val="center"/>
          </w:tcPr>
          <w:p>
            <w:pPr>
              <w:jc w:val="center"/>
              <w:rPr>
                <w:rFonts w:hint="default" w:ascii="宋体" w:hAnsi="宋体" w:eastAsiaTheme="minorEastAsia"/>
                <w:color w:val="000000"/>
                <w:szCs w:val="21"/>
                <w:lang w:val="en-US" w:eastAsia="zh-CN"/>
              </w:rPr>
            </w:pPr>
            <w:r>
              <w:rPr>
                <w:rFonts w:hint="eastAsia" w:ascii="宋体" w:hAnsi="宋体"/>
                <w:color w:val="000000"/>
                <w:szCs w:val="21"/>
                <w:lang w:val="en-US" w:eastAsia="zh-CN"/>
              </w:rPr>
              <w:t>1</w:t>
            </w:r>
          </w:p>
        </w:tc>
        <w:tc>
          <w:tcPr>
            <w:tcW w:w="3536" w:type="dxa"/>
            <w:tcBorders>
              <w:top w:val="nil"/>
              <w:left w:val="nil"/>
              <w:bottom w:val="single" w:color="auto" w:sz="8" w:space="0"/>
              <w:right w:val="single" w:color="auto" w:sz="8" w:space="0"/>
            </w:tcBorders>
            <w:vAlign w:val="center"/>
          </w:tcPr>
          <w:p>
            <w:pPr>
              <w:jc w:val="center"/>
              <w:rPr>
                <w:rFonts w:hint="default" w:ascii="宋体" w:hAnsi="宋体"/>
                <w:color w:val="000000"/>
                <w:szCs w:val="21"/>
                <w:lang w:val="en-US" w:eastAsia="zh-CN"/>
              </w:rPr>
            </w:pPr>
          </w:p>
        </w:tc>
        <w:tc>
          <w:tcPr>
            <w:tcW w:w="3378" w:type="dxa"/>
            <w:tcBorders>
              <w:top w:val="nil"/>
              <w:left w:val="nil"/>
              <w:bottom w:val="single" w:color="auto" w:sz="8" w:space="0"/>
              <w:right w:val="single" w:color="auto" w:sz="8" w:space="0"/>
            </w:tcBorders>
            <w:vAlign w:val="center"/>
          </w:tcPr>
          <w:p>
            <w:pPr>
              <w:jc w:val="left"/>
              <w:rPr>
                <w:rFonts w:hint="eastAsia" w:ascii="宋体" w:hAnsi="宋体"/>
                <w:color w:val="000000"/>
                <w:szCs w:val="21"/>
                <w:lang w:val="en-US" w:eastAsia="zh-CN"/>
              </w:rPr>
            </w:pPr>
            <w:r>
              <w:rPr>
                <w:rFonts w:hint="eastAsia" w:ascii="宋体" w:hAnsi="宋体"/>
                <w:color w:val="000000"/>
                <w:szCs w:val="21"/>
                <w:lang w:val="en-US" w:eastAsia="zh-CN"/>
              </w:rPr>
              <w:t>小写：</w:t>
            </w:r>
          </w:p>
          <w:p>
            <w:pPr>
              <w:pStyle w:val="16"/>
              <w:rPr>
                <w:rFonts w:hint="eastAsia"/>
                <w:lang w:val="en-US" w:eastAsia="zh-CN"/>
              </w:rPr>
            </w:pPr>
          </w:p>
          <w:p>
            <w:pPr>
              <w:jc w:val="both"/>
              <w:rPr>
                <w:rFonts w:ascii="宋体" w:hAnsi="宋体"/>
                <w:color w:val="000000"/>
                <w:szCs w:val="21"/>
                <w:lang w:val="zh-CN"/>
              </w:rPr>
            </w:pPr>
            <w:r>
              <w:rPr>
                <w:rFonts w:hint="eastAsia" w:ascii="宋体" w:hAnsi="宋体"/>
                <w:color w:val="000000"/>
                <w:szCs w:val="21"/>
                <w:lang w:val="en-US" w:eastAsia="zh-CN"/>
              </w:rPr>
              <w:t>大写：</w:t>
            </w:r>
          </w:p>
        </w:tc>
        <w:tc>
          <w:tcPr>
            <w:tcW w:w="1763" w:type="dxa"/>
            <w:tcBorders>
              <w:top w:val="nil"/>
              <w:left w:val="nil"/>
              <w:bottom w:val="single" w:color="auto" w:sz="8" w:space="0"/>
              <w:right w:val="single" w:color="auto" w:sz="8" w:space="0"/>
            </w:tcBorders>
            <w:vAlign w:val="center"/>
          </w:tcPr>
          <w:p>
            <w:pPr>
              <w:jc w:val="center"/>
              <w:rPr>
                <w:rFonts w:ascii="宋体" w:hAnsi="宋体"/>
                <w:color w:val="000000"/>
                <w:szCs w:val="21"/>
                <w:lang w:val="zh-CN"/>
              </w:rPr>
            </w:pPr>
          </w:p>
        </w:tc>
      </w:tr>
    </w:tbl>
    <w:p>
      <w:pPr>
        <w:ind w:firstLine="420"/>
        <w:rPr>
          <w:rFonts w:hint="eastAsia" w:ascii="宋体" w:hAnsi="宋体"/>
          <w:color w:val="000000" w:themeColor="text1"/>
          <w:szCs w:val="21"/>
          <w14:textFill>
            <w14:solidFill>
              <w14:schemeClr w14:val="tx1"/>
            </w14:solidFill>
          </w14:textFill>
        </w:rPr>
      </w:pPr>
      <w:r>
        <w:rPr>
          <w:rFonts w:hint="eastAsia" w:ascii="宋体" w:hAnsi="宋体"/>
          <w:color w:val="000000"/>
          <w:szCs w:val="21"/>
          <w:lang w:val="zh-CN"/>
        </w:rPr>
        <w:t>说明</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 xml:space="preserve"> 1、</w:t>
      </w:r>
      <w:r>
        <w:rPr>
          <w:rFonts w:hint="eastAsia" w:ascii="宋体" w:hAnsi="宋体"/>
          <w:color w:val="000000" w:themeColor="text1"/>
          <w:szCs w:val="21"/>
          <w14:textFill>
            <w14:solidFill>
              <w14:schemeClr w14:val="tx1"/>
            </w14:solidFill>
          </w14:textFill>
        </w:rPr>
        <w:t>完全满足遴选文件的商务条款要求和技术服务条款要求。</w:t>
      </w:r>
    </w:p>
    <w:p>
      <w:pPr>
        <w:ind w:firstLine="420"/>
        <w:rPr>
          <w:rFonts w:hint="eastAsia" w:ascii="宋体" w:hAnsi="宋体"/>
          <w:color w:val="000000" w:themeColor="text1"/>
          <w:szCs w:val="21"/>
          <w:lang w:val="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2、</w:t>
      </w:r>
      <w:r>
        <w:rPr>
          <w:rFonts w:hint="eastAsia" w:ascii="宋体" w:hAnsi="宋体"/>
          <w:color w:val="000000" w:themeColor="text1"/>
          <w:szCs w:val="21"/>
          <w:lang w:val="zh-CN"/>
          <w14:textFill>
            <w14:solidFill>
              <w14:schemeClr w14:val="tx1"/>
            </w14:solidFill>
          </w14:textFill>
        </w:rPr>
        <w:t>大写金额和小写金额不一致的，以大写金额为准；</w:t>
      </w:r>
    </w:p>
    <w:p>
      <w:pPr>
        <w:ind w:firstLine="1050" w:firstLineChars="500"/>
        <w:rPr>
          <w:rFonts w:hint="default"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3、总价金额应与分项报价表中的总价金额相一致。</w:t>
      </w:r>
    </w:p>
    <w:p>
      <w:pPr>
        <w:ind w:firstLine="420"/>
        <w:rPr>
          <w:rFonts w:hint="default" w:ascii="宋体" w:hAnsi="宋体"/>
          <w:color w:val="FF0000"/>
          <w:szCs w:val="21"/>
          <w:lang w:val="en-US" w:eastAsia="zh-CN"/>
        </w:rPr>
      </w:pPr>
      <w:r>
        <w:rPr>
          <w:rFonts w:hint="eastAsia" w:ascii="宋体" w:hAnsi="宋体"/>
          <w:color w:val="FF0000"/>
          <w:szCs w:val="21"/>
          <w:lang w:val="en-US" w:eastAsia="zh-CN"/>
        </w:rPr>
        <w:t xml:space="preserve">    </w:t>
      </w:r>
    </w:p>
    <w:p>
      <w:pPr>
        <w:ind w:firstLine="420" w:firstLineChars="200"/>
        <w:rPr>
          <w:rFonts w:ascii="宋体" w:hAnsi="宋体"/>
          <w:color w:val="FF0000"/>
          <w:szCs w:val="21"/>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r>
        <w:rPr>
          <w:rFonts w:hint="eastAsia" w:ascii="宋体" w:hAnsi="宋体"/>
          <w:color w:val="000000"/>
          <w:szCs w:val="21"/>
          <w:lang w:val="zh-CN"/>
        </w:rPr>
        <w:t xml:space="preserve"> </w:t>
      </w:r>
      <w:r>
        <w:rPr>
          <w:rFonts w:ascii="宋体" w:hAnsi="宋体"/>
          <w:color w:val="000000"/>
          <w:szCs w:val="21"/>
          <w:lang w:val="zh-CN"/>
        </w:rPr>
        <w:t xml:space="preserve"> </w:t>
      </w: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rPr>
      </w:pPr>
      <w:r>
        <w:rPr>
          <w:rFonts w:hint="eastAsia" w:ascii="宋体" w:hAnsi="宋体"/>
          <w:color w:val="000000"/>
          <w:szCs w:val="21"/>
          <w:lang w:val="zh-CN"/>
        </w:rPr>
        <w:t>供应商（全称）</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rPr>
          <w:rFonts w:hint="eastAsia" w:ascii="宋体" w:hAnsi="宋体"/>
          <w:color w:val="000000"/>
          <w:szCs w:val="21"/>
          <w:lang w:val="zh-CN"/>
        </w:rPr>
      </w:pPr>
      <w:r>
        <w:rPr>
          <w:rFonts w:hint="eastAsia" w:ascii="宋体" w:hAnsi="宋体"/>
          <w:color w:val="000000"/>
          <w:szCs w:val="21"/>
          <w:u w:val="single"/>
          <w:lang w:val="zh-CN"/>
        </w:rPr>
        <w:br w:type="textWrapping"/>
      </w:r>
      <w:r>
        <w:rPr>
          <w:rFonts w:hint="eastAsia" w:ascii="宋体" w:hAnsi="宋体"/>
          <w:color w:val="000000"/>
          <w:szCs w:val="21"/>
          <w:lang w:val="zh-CN"/>
        </w:rPr>
        <w:t>法定代表人（</w:t>
      </w:r>
      <w:r>
        <w:rPr>
          <w:rFonts w:hint="eastAsia" w:ascii="宋体" w:hAnsi="宋体"/>
          <w:color w:val="000000"/>
          <w:szCs w:val="21"/>
          <w:lang w:val="en-US" w:eastAsia="zh-CN"/>
        </w:rPr>
        <w:t>或</w:t>
      </w:r>
      <w:r>
        <w:rPr>
          <w:rFonts w:hint="eastAsia" w:ascii="宋体" w:hAnsi="宋体"/>
          <w:color w:val="000000"/>
          <w:szCs w:val="21"/>
          <w:lang w:val="zh-CN"/>
        </w:rPr>
        <w:t xml:space="preserve">授权代表）: </w:t>
      </w:r>
      <w:r>
        <w:rPr>
          <w:rFonts w:hint="eastAsia" w:ascii="宋体" w:hAnsi="宋体"/>
          <w:color w:val="000000"/>
          <w:szCs w:val="21"/>
          <w:u w:val="single"/>
          <w:lang w:val="zh-CN"/>
        </w:rPr>
        <w:t xml:space="preserve">                      </w:t>
      </w:r>
      <w:r>
        <w:rPr>
          <w:rFonts w:hint="eastAsia" w:ascii="宋体" w:hAnsi="宋体"/>
          <w:color w:val="000000"/>
          <w:szCs w:val="21"/>
          <w:lang w:val="zh-CN"/>
        </w:rPr>
        <w:t>(签章)</w:t>
      </w:r>
    </w:p>
    <w:p>
      <w:pPr>
        <w:rPr>
          <w:rFonts w:hint="eastAsia" w:ascii="宋体" w:hAnsi="宋体"/>
          <w:color w:val="000000"/>
          <w:szCs w:val="21"/>
          <w:lang w:val="zh-CN"/>
        </w:rPr>
      </w:pPr>
    </w:p>
    <w:p>
      <w:pPr>
        <w:rPr>
          <w:rFonts w:hint="eastAsia" w:ascii="宋体" w:hAnsi="宋体"/>
          <w:color w:val="000000"/>
          <w:szCs w:val="21"/>
          <w:lang w:val="zh-CN"/>
        </w:rPr>
      </w:pPr>
      <w:r>
        <w:rPr>
          <w:rFonts w:hint="eastAsia" w:ascii="宋体" w:hAnsi="宋体"/>
          <w:color w:val="000000"/>
          <w:szCs w:val="21"/>
          <w:lang w:val="zh-CN"/>
        </w:rPr>
        <w:t>日期：        年    月    日</w:t>
      </w:r>
    </w:p>
    <w:p>
      <w:pPr>
        <w:rPr>
          <w:rFonts w:hint="eastAsia" w:ascii="宋体" w:hAnsi="宋体"/>
          <w:color w:val="000000"/>
          <w:szCs w:val="21"/>
          <w:lang w:val="zh-CN"/>
        </w:rPr>
      </w:pPr>
    </w:p>
    <w:p>
      <w:pPr>
        <w:pStyle w:val="16"/>
        <w:rPr>
          <w:rFonts w:hint="eastAsia"/>
        </w:rPr>
      </w:pPr>
    </w:p>
    <w:p>
      <w:pPr>
        <w:pStyle w:val="16"/>
        <w:rPr>
          <w:rFonts w:hint="eastAsia"/>
        </w:rPr>
      </w:pPr>
    </w:p>
    <w:p>
      <w:pPr>
        <w:widowControl/>
        <w:jc w:val="center"/>
        <w:rPr>
          <w:b/>
          <w:sz w:val="22"/>
          <w:shd w:val="clear" w:color="auto" w:fill="FFFFFF"/>
        </w:rPr>
      </w:pPr>
    </w:p>
    <w:p>
      <w:pPr>
        <w:pStyle w:val="16"/>
        <w:rPr>
          <w:b/>
          <w:sz w:val="22"/>
          <w:shd w:val="clear" w:color="auto" w:fill="FFFFFF"/>
        </w:rPr>
      </w:pPr>
    </w:p>
    <w:p>
      <w:pPr>
        <w:pStyle w:val="16"/>
        <w:rPr>
          <w:b/>
          <w:sz w:val="22"/>
          <w:shd w:val="clear" w:color="auto" w:fill="FFFFFF"/>
        </w:rPr>
      </w:pPr>
    </w:p>
    <w:p>
      <w:pPr>
        <w:pStyle w:val="16"/>
        <w:rPr>
          <w:b/>
          <w:sz w:val="22"/>
          <w:shd w:val="clear" w:color="auto" w:fill="FFFFFF"/>
        </w:rPr>
      </w:pPr>
    </w:p>
    <w:p>
      <w:pPr>
        <w:pStyle w:val="16"/>
        <w:rPr>
          <w:b/>
          <w:sz w:val="22"/>
          <w:shd w:val="clear" w:color="auto" w:fill="FFFFFF"/>
        </w:rPr>
      </w:pPr>
    </w:p>
    <w:p>
      <w:pPr>
        <w:widowControl/>
        <w:jc w:val="center"/>
        <w:rPr>
          <w:b/>
          <w:sz w:val="22"/>
          <w:shd w:val="clear" w:color="auto" w:fill="FFFFFF"/>
        </w:rPr>
      </w:pPr>
      <w:r>
        <w:rPr>
          <w:rFonts w:hint="eastAsia"/>
          <w:b/>
          <w:sz w:val="22"/>
          <w:shd w:val="clear" w:color="auto" w:fill="FFFFFF"/>
        </w:rPr>
        <w:t>附件</w:t>
      </w:r>
      <w:r>
        <w:rPr>
          <w:b/>
          <w:sz w:val="22"/>
          <w:shd w:val="clear" w:color="auto" w:fill="FFFFFF"/>
        </w:rPr>
        <w:t xml:space="preserve">2  </w:t>
      </w:r>
      <w:r>
        <w:rPr>
          <w:rFonts w:hint="eastAsia"/>
          <w:b/>
          <w:sz w:val="22"/>
          <w:shd w:val="clear" w:color="auto" w:fill="FFFFFF"/>
        </w:rPr>
        <w:t>分项（明细）报价表</w:t>
      </w:r>
    </w:p>
    <w:p>
      <w:pPr>
        <w:spacing w:line="360" w:lineRule="auto"/>
        <w:rPr>
          <w:sz w:val="22"/>
          <w:shd w:val="clear" w:color="auto" w:fill="FFFFFF"/>
        </w:rPr>
      </w:pPr>
    </w:p>
    <w:p>
      <w:pPr>
        <w:spacing w:line="360" w:lineRule="auto"/>
        <w:ind w:firstLine="420" w:firstLineChars="200"/>
        <w:rPr>
          <w:rFonts w:hint="eastAsia"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项目名称：北京按摩医院职工体检服务项目</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 xml:space="preserve">项目编号：BJAMYY-2024-06-02  </w:t>
      </w:r>
    </w:p>
    <w:p>
      <w:pPr>
        <w:spacing w:line="360" w:lineRule="auto"/>
        <w:ind w:firstLine="420" w:firstLineChars="200"/>
        <w:jc w:val="left"/>
        <w:rPr>
          <w:rFonts w:hint="default" w:asciiTheme="minorEastAsia" w:hAnsiTheme="minorEastAsia"/>
          <w:b w:val="0"/>
          <w:sz w:val="21"/>
          <w:szCs w:val="21"/>
          <w:shd w:val="clear" w:color="auto" w:fill="FFFFFF"/>
          <w:lang w:val="en-US" w:eastAsia="zh-CN"/>
        </w:rPr>
      </w:pPr>
      <w:r>
        <w:rPr>
          <w:rFonts w:hint="eastAsia" w:asciiTheme="minorEastAsia" w:hAnsiTheme="minorEastAsia"/>
          <w:b w:val="0"/>
          <w:sz w:val="21"/>
          <w:szCs w:val="21"/>
          <w:shd w:val="clear" w:color="auto" w:fill="FFFFFF"/>
        </w:rPr>
        <w:t>分项（明细）报价表</w:t>
      </w:r>
      <w:r>
        <w:rPr>
          <w:rFonts w:hint="eastAsia" w:asciiTheme="minorEastAsia" w:hAnsiTheme="minorEastAsia"/>
          <w:b w:val="0"/>
          <w:sz w:val="21"/>
          <w:szCs w:val="21"/>
          <w:shd w:val="clear" w:color="auto" w:fill="FFFFFF"/>
          <w:lang w:val="en-US" w:eastAsia="zh-CN"/>
        </w:rPr>
        <w:t>内详细报价</w:t>
      </w:r>
      <w:r>
        <w:rPr>
          <w:rFonts w:hint="eastAsia" w:asciiTheme="minorEastAsia" w:hAnsiTheme="minorEastAsia"/>
          <w:b w:val="0"/>
          <w:sz w:val="21"/>
          <w:szCs w:val="21"/>
          <w:highlight w:val="none"/>
          <w:shd w:val="clear" w:color="auto" w:fill="FFFFFF"/>
          <w:lang w:val="en-US" w:eastAsia="zh-CN"/>
        </w:rPr>
        <w:t>，</w:t>
      </w:r>
      <w:r>
        <w:rPr>
          <w:rFonts w:hint="eastAsia" w:asciiTheme="minorEastAsia" w:hAnsiTheme="minorEastAsia"/>
          <w:b w:val="0"/>
          <w:sz w:val="21"/>
          <w:szCs w:val="21"/>
          <w:shd w:val="clear" w:color="auto" w:fill="FFFFFF"/>
          <w:lang w:val="en-US" w:eastAsia="zh-CN"/>
        </w:rPr>
        <w:t>需全部满足并提供相应报价，如未提供，则文件作废。</w:t>
      </w:r>
    </w:p>
    <w:p>
      <w:pPr>
        <w:spacing w:line="360" w:lineRule="auto"/>
        <w:ind w:firstLine="420" w:firstLineChars="200"/>
        <w:jc w:val="left"/>
        <w:rPr>
          <w:rFonts w:hint="eastAsia" w:asciiTheme="minorEastAsia" w:hAnsiTheme="minorEastAsia"/>
          <w:szCs w:val="21"/>
          <w:shd w:val="clear" w:color="auto" w:fill="FFFFFF"/>
          <w:lang w:val="zh-CN"/>
        </w:rPr>
      </w:pPr>
      <w:r>
        <w:rPr>
          <w:rFonts w:hint="eastAsia" w:asciiTheme="minorEastAsia" w:hAnsiTheme="minorEastAsia"/>
          <w:szCs w:val="21"/>
          <w:shd w:val="clear" w:color="auto" w:fill="FFFFFF"/>
          <w:lang w:val="zh-CN"/>
        </w:rPr>
        <w:t>根据本项目实际情况，明细如下：</w:t>
      </w:r>
    </w:p>
    <w:tbl>
      <w:tblPr>
        <w:tblStyle w:val="26"/>
        <w:tblW w:w="8611" w:type="dxa"/>
        <w:tblInd w:w="0" w:type="dxa"/>
        <w:tblLayout w:type="fixed"/>
        <w:tblCellMar>
          <w:top w:w="0" w:type="dxa"/>
          <w:left w:w="0" w:type="dxa"/>
          <w:bottom w:w="0" w:type="dxa"/>
          <w:right w:w="0" w:type="dxa"/>
        </w:tblCellMar>
      </w:tblPr>
      <w:tblGrid>
        <w:gridCol w:w="510"/>
        <w:gridCol w:w="3653"/>
        <w:gridCol w:w="3128"/>
        <w:gridCol w:w="1320"/>
      </w:tblGrid>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序号</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名称</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lang w:val="en-US" w:eastAsia="zh-CN"/>
              </w:rPr>
              <w:t>单项套餐</w:t>
            </w:r>
            <w:r>
              <w:rPr>
                <w:rFonts w:hint="eastAsia" w:ascii="宋体" w:hAnsi="宋体"/>
                <w:szCs w:val="21"/>
              </w:rPr>
              <w:t>金额（</w:t>
            </w:r>
            <w:r>
              <w:rPr>
                <w:rFonts w:hint="eastAsia" w:ascii="宋体" w:hAnsi="宋体"/>
                <w:szCs w:val="21"/>
                <w:lang w:val="en-US" w:eastAsia="zh-CN"/>
              </w:rPr>
              <w:t>元</w:t>
            </w:r>
            <w:r>
              <w:rPr>
                <w:rFonts w:hint="eastAsia" w:ascii="宋体" w:hAnsi="宋体"/>
                <w:szCs w:val="21"/>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备注</w:t>
            </w: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lang w:val="en-US" w:eastAsia="zh-CN"/>
              </w:rPr>
              <w:t>1</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b w:val="0"/>
                <w:bCs w:val="0"/>
                <w:szCs w:val="21"/>
                <w:highlight w:val="none"/>
              </w:rPr>
            </w:pPr>
            <w:r>
              <w:rPr>
                <w:rFonts w:hint="eastAsia" w:ascii="宋体" w:hAnsi="宋体" w:eastAsia="宋体" w:cs="宋体"/>
                <w:b w:val="0"/>
                <w:bCs w:val="0"/>
                <w:kern w:val="0"/>
                <w:sz w:val="18"/>
                <w:szCs w:val="18"/>
                <w:highlight w:val="none"/>
              </w:rPr>
              <w:t>40岁</w:t>
            </w:r>
            <w:r>
              <w:rPr>
                <w:rFonts w:hint="eastAsia" w:ascii="宋体" w:hAnsi="宋体" w:cs="宋体"/>
                <w:b w:val="0"/>
                <w:bCs w:val="0"/>
                <w:kern w:val="0"/>
                <w:sz w:val="18"/>
                <w:szCs w:val="18"/>
                <w:highlight w:val="none"/>
                <w:lang w:val="en-US" w:eastAsia="zh-CN"/>
              </w:rPr>
              <w:t>及</w:t>
            </w:r>
            <w:r>
              <w:rPr>
                <w:rFonts w:hint="eastAsia" w:ascii="宋体" w:hAnsi="宋体" w:eastAsia="宋体" w:cs="宋体"/>
                <w:b w:val="0"/>
                <w:bCs w:val="0"/>
                <w:kern w:val="0"/>
                <w:sz w:val="18"/>
                <w:szCs w:val="18"/>
                <w:highlight w:val="none"/>
              </w:rPr>
              <w:t>以上男</w:t>
            </w:r>
            <w:r>
              <w:rPr>
                <w:rFonts w:hint="eastAsia" w:ascii="宋体" w:hAnsi="宋体" w:cs="宋体"/>
                <w:b w:val="0"/>
                <w:bCs w:val="0"/>
                <w:kern w:val="0"/>
                <w:sz w:val="18"/>
                <w:szCs w:val="18"/>
                <w:highlight w:val="none"/>
                <w:lang w:val="en-US" w:eastAsia="zh-CN"/>
              </w:rPr>
              <w:t>性</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b w:val="0"/>
                <w:bCs w:val="0"/>
                <w:szCs w:val="21"/>
                <w:highlight w:val="none"/>
              </w:rPr>
            </w:pPr>
            <w:r>
              <w:rPr>
                <w:rFonts w:hint="eastAsia" w:ascii="宋体" w:hAnsi="宋体" w:eastAsia="宋体" w:cs="宋体"/>
                <w:b w:val="0"/>
                <w:bCs w:val="0"/>
                <w:kern w:val="0"/>
                <w:sz w:val="18"/>
                <w:szCs w:val="18"/>
                <w:highlight w:val="none"/>
              </w:rPr>
              <w:t>40岁以</w:t>
            </w:r>
            <w:r>
              <w:rPr>
                <w:rFonts w:hint="eastAsia" w:ascii="宋体" w:hAnsi="宋体" w:eastAsia="宋体" w:cs="宋体"/>
                <w:b w:val="0"/>
                <w:bCs w:val="0"/>
                <w:kern w:val="0"/>
                <w:sz w:val="18"/>
                <w:szCs w:val="18"/>
                <w:highlight w:val="none"/>
                <w:lang w:val="en-US" w:eastAsia="zh-CN"/>
              </w:rPr>
              <w:t>下</w:t>
            </w:r>
            <w:r>
              <w:rPr>
                <w:rFonts w:hint="eastAsia" w:ascii="宋体" w:hAnsi="宋体" w:eastAsia="宋体" w:cs="宋体"/>
                <w:b w:val="0"/>
                <w:bCs w:val="0"/>
                <w:kern w:val="0"/>
                <w:sz w:val="18"/>
                <w:szCs w:val="18"/>
                <w:highlight w:val="none"/>
              </w:rPr>
              <w:t>男</w:t>
            </w:r>
            <w:r>
              <w:rPr>
                <w:rFonts w:hint="eastAsia" w:ascii="宋体" w:hAnsi="宋体" w:cs="宋体"/>
                <w:b w:val="0"/>
                <w:bCs w:val="0"/>
                <w:kern w:val="0"/>
                <w:sz w:val="18"/>
                <w:szCs w:val="18"/>
                <w:highlight w:val="none"/>
                <w:lang w:val="en-US" w:eastAsia="zh-CN"/>
              </w:rPr>
              <w:t>性</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val="en-US" w:eastAsia="zh-CN"/>
              </w:rPr>
            </w:pPr>
            <w:r>
              <w:rPr>
                <w:rFonts w:hint="eastAsia" w:ascii="宋体" w:hAnsi="宋体"/>
                <w:szCs w:val="21"/>
                <w:lang w:val="en-US" w:eastAsia="zh-CN"/>
              </w:rPr>
              <w:t>3</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b w:val="0"/>
                <w:bCs w:val="0"/>
                <w:szCs w:val="21"/>
                <w:highlight w:val="none"/>
              </w:rPr>
            </w:pPr>
            <w:r>
              <w:rPr>
                <w:rFonts w:hint="eastAsia" w:ascii="宋体" w:hAnsi="宋体" w:eastAsia="宋体" w:cs="宋体"/>
                <w:b w:val="0"/>
                <w:bCs w:val="0"/>
                <w:kern w:val="0"/>
                <w:sz w:val="18"/>
                <w:szCs w:val="18"/>
                <w:highlight w:val="none"/>
              </w:rPr>
              <w:t>40岁及以上已婚女</w:t>
            </w:r>
            <w:r>
              <w:rPr>
                <w:rFonts w:hint="eastAsia" w:ascii="宋体" w:hAnsi="宋体" w:cs="宋体"/>
                <w:b w:val="0"/>
                <w:bCs w:val="0"/>
                <w:kern w:val="0"/>
                <w:sz w:val="18"/>
                <w:szCs w:val="18"/>
                <w:highlight w:val="none"/>
                <w:lang w:val="en-US" w:eastAsia="zh-CN"/>
              </w:rPr>
              <w:t>性</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val="en-US" w:eastAsia="zh-CN"/>
              </w:rPr>
            </w:pPr>
            <w:r>
              <w:rPr>
                <w:rFonts w:hint="eastAsia" w:ascii="宋体" w:hAnsi="宋体"/>
                <w:szCs w:val="21"/>
                <w:lang w:val="en-US" w:eastAsia="zh-CN"/>
              </w:rPr>
              <w:t>4</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b w:val="0"/>
                <w:bCs w:val="0"/>
                <w:szCs w:val="21"/>
                <w:highlight w:val="none"/>
              </w:rPr>
            </w:pPr>
            <w:r>
              <w:rPr>
                <w:rFonts w:hint="eastAsia" w:ascii="宋体" w:hAnsi="宋体" w:eastAsia="宋体" w:cs="宋体"/>
                <w:b w:val="0"/>
                <w:bCs w:val="0"/>
                <w:kern w:val="0"/>
                <w:sz w:val="18"/>
                <w:szCs w:val="18"/>
                <w:highlight w:val="none"/>
              </w:rPr>
              <w:t>40岁以</w:t>
            </w:r>
            <w:r>
              <w:rPr>
                <w:rFonts w:hint="eastAsia" w:ascii="宋体" w:hAnsi="宋体" w:eastAsia="宋体" w:cs="宋体"/>
                <w:b w:val="0"/>
                <w:bCs w:val="0"/>
                <w:kern w:val="0"/>
                <w:sz w:val="18"/>
                <w:szCs w:val="18"/>
                <w:highlight w:val="none"/>
                <w:lang w:val="en-US" w:eastAsia="zh-CN"/>
              </w:rPr>
              <w:t>下</w:t>
            </w:r>
            <w:r>
              <w:rPr>
                <w:rFonts w:hint="eastAsia" w:ascii="宋体" w:hAnsi="宋体" w:eastAsia="宋体" w:cs="宋体"/>
                <w:b w:val="0"/>
                <w:bCs w:val="0"/>
                <w:kern w:val="0"/>
                <w:sz w:val="18"/>
                <w:szCs w:val="18"/>
                <w:highlight w:val="none"/>
              </w:rPr>
              <w:t>已婚女</w:t>
            </w:r>
            <w:r>
              <w:rPr>
                <w:rFonts w:hint="eastAsia" w:ascii="宋体" w:hAnsi="宋体" w:cs="宋体"/>
                <w:b w:val="0"/>
                <w:bCs w:val="0"/>
                <w:kern w:val="0"/>
                <w:sz w:val="18"/>
                <w:szCs w:val="18"/>
                <w:highlight w:val="none"/>
                <w:lang w:val="en-US" w:eastAsia="zh-CN"/>
              </w:rPr>
              <w:t>性</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default" w:ascii="宋体" w:hAnsi="宋体"/>
                <w:szCs w:val="21"/>
                <w:lang w:val="en-US" w:eastAsia="zh-CN"/>
              </w:rPr>
            </w:pPr>
            <w:r>
              <w:rPr>
                <w:rFonts w:hint="eastAsia" w:ascii="宋体" w:hAnsi="宋体"/>
                <w:szCs w:val="21"/>
                <w:lang w:val="en-US" w:eastAsia="zh-CN"/>
              </w:rPr>
              <w:t>5</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b w:val="0"/>
                <w:bCs w:val="0"/>
                <w:szCs w:val="21"/>
                <w:highlight w:val="none"/>
              </w:rPr>
            </w:pPr>
            <w:r>
              <w:rPr>
                <w:rFonts w:hint="eastAsia" w:ascii="宋体" w:hAnsi="宋体" w:eastAsia="宋体" w:cs="宋体"/>
                <w:b w:val="0"/>
                <w:bCs w:val="0"/>
                <w:kern w:val="0"/>
                <w:sz w:val="18"/>
                <w:szCs w:val="18"/>
                <w:highlight w:val="none"/>
              </w:rPr>
              <w:t>40岁</w:t>
            </w:r>
            <w:r>
              <w:rPr>
                <w:rFonts w:hint="eastAsia" w:ascii="宋体" w:hAnsi="宋体" w:cs="宋体"/>
                <w:b w:val="0"/>
                <w:bCs w:val="0"/>
                <w:kern w:val="0"/>
                <w:sz w:val="18"/>
                <w:szCs w:val="18"/>
                <w:highlight w:val="none"/>
                <w:lang w:val="en-US" w:eastAsia="zh-CN"/>
              </w:rPr>
              <w:t>及</w:t>
            </w:r>
            <w:r>
              <w:rPr>
                <w:rFonts w:hint="eastAsia" w:ascii="宋体" w:hAnsi="宋体" w:eastAsia="宋体" w:cs="宋体"/>
                <w:b w:val="0"/>
                <w:bCs w:val="0"/>
                <w:kern w:val="0"/>
                <w:sz w:val="18"/>
                <w:szCs w:val="18"/>
                <w:highlight w:val="none"/>
              </w:rPr>
              <w:t>以上</w:t>
            </w:r>
            <w:r>
              <w:rPr>
                <w:rFonts w:hint="eastAsia" w:ascii="宋体" w:hAnsi="宋体" w:eastAsia="宋体" w:cs="宋体"/>
                <w:b w:val="0"/>
                <w:bCs w:val="0"/>
                <w:kern w:val="0"/>
                <w:sz w:val="18"/>
                <w:szCs w:val="18"/>
                <w:highlight w:val="none"/>
                <w:lang w:val="en-US" w:eastAsia="zh-CN"/>
              </w:rPr>
              <w:t>未</w:t>
            </w:r>
            <w:r>
              <w:rPr>
                <w:rFonts w:hint="eastAsia" w:ascii="宋体" w:hAnsi="宋体" w:eastAsia="宋体" w:cs="宋体"/>
                <w:b w:val="0"/>
                <w:bCs w:val="0"/>
                <w:kern w:val="0"/>
                <w:sz w:val="18"/>
                <w:szCs w:val="18"/>
                <w:highlight w:val="none"/>
              </w:rPr>
              <w:t>婚女</w:t>
            </w:r>
            <w:r>
              <w:rPr>
                <w:rFonts w:hint="eastAsia" w:ascii="宋体" w:hAnsi="宋体" w:cs="宋体"/>
                <w:b w:val="0"/>
                <w:bCs w:val="0"/>
                <w:kern w:val="0"/>
                <w:sz w:val="18"/>
                <w:szCs w:val="18"/>
                <w:highlight w:val="none"/>
                <w:lang w:val="en-US" w:eastAsia="zh-CN"/>
              </w:rPr>
              <w:t>性</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default" w:ascii="宋体" w:hAnsi="宋体"/>
                <w:szCs w:val="21"/>
                <w:lang w:val="en-US" w:eastAsia="zh-CN"/>
              </w:rPr>
            </w:pPr>
            <w:r>
              <w:rPr>
                <w:rFonts w:hint="eastAsia" w:ascii="宋体" w:hAnsi="宋体"/>
                <w:szCs w:val="21"/>
                <w:lang w:val="en-US" w:eastAsia="zh-CN"/>
              </w:rPr>
              <w:t>6</w:t>
            </w:r>
          </w:p>
        </w:tc>
        <w:tc>
          <w:tcPr>
            <w:tcW w:w="3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b w:val="0"/>
                <w:bCs w:val="0"/>
                <w:szCs w:val="21"/>
                <w:highlight w:val="none"/>
              </w:rPr>
            </w:pPr>
            <w:r>
              <w:rPr>
                <w:rFonts w:hint="eastAsia" w:ascii="宋体" w:hAnsi="宋体" w:eastAsia="宋体" w:cs="宋体"/>
                <w:b w:val="0"/>
                <w:bCs w:val="0"/>
                <w:kern w:val="0"/>
                <w:sz w:val="18"/>
                <w:szCs w:val="18"/>
                <w:highlight w:val="none"/>
              </w:rPr>
              <w:t>40岁以</w:t>
            </w:r>
            <w:r>
              <w:rPr>
                <w:rFonts w:hint="eastAsia" w:ascii="宋体" w:hAnsi="宋体" w:eastAsia="宋体" w:cs="宋体"/>
                <w:b w:val="0"/>
                <w:bCs w:val="0"/>
                <w:kern w:val="0"/>
                <w:sz w:val="18"/>
                <w:szCs w:val="18"/>
                <w:highlight w:val="none"/>
                <w:lang w:val="en-US" w:eastAsia="zh-CN"/>
              </w:rPr>
              <w:t>下未</w:t>
            </w:r>
            <w:r>
              <w:rPr>
                <w:rFonts w:hint="eastAsia" w:ascii="宋体" w:hAnsi="宋体" w:eastAsia="宋体" w:cs="宋体"/>
                <w:b w:val="0"/>
                <w:bCs w:val="0"/>
                <w:kern w:val="0"/>
                <w:sz w:val="18"/>
                <w:szCs w:val="18"/>
                <w:highlight w:val="none"/>
              </w:rPr>
              <w:t>婚女</w:t>
            </w:r>
            <w:r>
              <w:rPr>
                <w:rFonts w:hint="eastAsia" w:ascii="宋体" w:hAnsi="宋体" w:cs="宋体"/>
                <w:b w:val="0"/>
                <w:bCs w:val="0"/>
                <w:kern w:val="0"/>
                <w:sz w:val="18"/>
                <w:szCs w:val="18"/>
                <w:highlight w:val="none"/>
                <w:lang w:val="en-US" w:eastAsia="zh-CN"/>
              </w:rPr>
              <w:t>性</w:t>
            </w:r>
          </w:p>
        </w:tc>
        <w:tc>
          <w:tcPr>
            <w:tcW w:w="31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1015" w:hRule="atLeast"/>
        </w:trPr>
        <w:tc>
          <w:tcPr>
            <w:tcW w:w="4163"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eastAsia="zh-CN"/>
              </w:rPr>
            </w:pPr>
            <w:r>
              <w:rPr>
                <w:rFonts w:hint="eastAsia" w:ascii="宋体" w:hAnsi="宋体"/>
                <w:szCs w:val="21"/>
              </w:rPr>
              <w:t>合计金额</w:t>
            </w:r>
            <w:r>
              <w:rPr>
                <w:rFonts w:hint="eastAsia" w:ascii="宋体" w:hAnsi="宋体"/>
                <w:szCs w:val="21"/>
                <w:lang w:eastAsia="zh-CN"/>
              </w:rPr>
              <w:t>（</w:t>
            </w:r>
            <w:r>
              <w:rPr>
                <w:rFonts w:hint="eastAsia" w:ascii="宋体" w:hAnsi="宋体"/>
                <w:szCs w:val="21"/>
                <w:lang w:val="en-US" w:eastAsia="zh-CN"/>
              </w:rPr>
              <w:t>元</w:t>
            </w:r>
            <w:r>
              <w:rPr>
                <w:rFonts w:hint="eastAsia" w:ascii="宋体" w:hAnsi="宋体"/>
                <w:szCs w:val="21"/>
                <w:lang w:eastAsia="zh-CN"/>
              </w:rPr>
              <w:t>）</w:t>
            </w:r>
          </w:p>
        </w:tc>
        <w:tc>
          <w:tcPr>
            <w:tcW w:w="444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color w:val="000000"/>
                <w:szCs w:val="21"/>
                <w:lang w:val="en-US" w:eastAsia="zh-CN"/>
              </w:rPr>
            </w:pPr>
          </w:p>
          <w:p>
            <w:pPr>
              <w:jc w:val="left"/>
              <w:rPr>
                <w:rFonts w:hint="eastAsia" w:ascii="宋体" w:hAnsi="宋体"/>
                <w:color w:val="000000"/>
                <w:szCs w:val="21"/>
                <w:lang w:val="en-US" w:eastAsia="zh-CN"/>
              </w:rPr>
            </w:pPr>
            <w:r>
              <w:rPr>
                <w:rFonts w:hint="eastAsia" w:ascii="宋体" w:hAnsi="宋体"/>
                <w:color w:val="000000"/>
                <w:szCs w:val="21"/>
                <w:lang w:val="en-US" w:eastAsia="zh-CN"/>
              </w:rPr>
              <w:t>小写：</w:t>
            </w:r>
          </w:p>
          <w:p>
            <w:pPr>
              <w:pStyle w:val="2"/>
              <w:rPr>
                <w:rFonts w:hint="eastAsia"/>
                <w:lang w:val="en-US" w:eastAsia="zh-CN"/>
              </w:rPr>
            </w:pPr>
          </w:p>
          <w:p>
            <w:pPr>
              <w:tabs>
                <w:tab w:val="left" w:pos="900"/>
              </w:tabs>
              <w:spacing w:before="120" w:beforeLines="50" w:line="360" w:lineRule="auto"/>
              <w:rPr>
                <w:rFonts w:ascii="宋体" w:hAnsi="宋体"/>
                <w:szCs w:val="21"/>
              </w:rPr>
            </w:pPr>
            <w:r>
              <w:rPr>
                <w:rFonts w:hint="eastAsia" w:ascii="宋体" w:hAnsi="宋体"/>
                <w:color w:val="000000"/>
                <w:szCs w:val="21"/>
                <w:lang w:val="en-US" w:eastAsia="zh-CN"/>
              </w:rPr>
              <w:t>大写：</w:t>
            </w:r>
          </w:p>
        </w:tc>
      </w:tr>
    </w:tbl>
    <w:p>
      <w:pPr>
        <w:spacing w:line="360" w:lineRule="auto"/>
        <w:rPr>
          <w:rFonts w:asciiTheme="minorEastAsia" w:hAnsiTheme="minorEastAsia"/>
          <w:szCs w:val="21"/>
          <w:shd w:val="clear" w:color="auto" w:fill="FFFFFF"/>
        </w:rPr>
      </w:pPr>
      <w:r>
        <w:rPr>
          <w:rFonts w:hint="eastAsia" w:asciiTheme="minorEastAsia" w:hAnsiTheme="minorEastAsia"/>
          <w:szCs w:val="21"/>
          <w:shd w:val="clear" w:color="auto" w:fill="FFFFFF"/>
        </w:rPr>
        <w:t>注：</w:t>
      </w:r>
      <w:r>
        <w:rPr>
          <w:rFonts w:hint="eastAsia" w:asciiTheme="minorEastAsia" w:hAnsiTheme="minorEastAsia"/>
          <w:szCs w:val="21"/>
          <w:shd w:val="clear" w:color="auto" w:fill="FFFFFF"/>
          <w:lang w:val="en-US" w:eastAsia="zh-CN"/>
        </w:rPr>
        <w:t>1</w:t>
      </w:r>
      <w:r>
        <w:rPr>
          <w:rFonts w:asciiTheme="minorEastAsia" w:hAnsiTheme="minorEastAsia"/>
          <w:szCs w:val="21"/>
          <w:shd w:val="clear" w:color="auto" w:fill="FFFFFF"/>
        </w:rPr>
        <w:t>.</w:t>
      </w:r>
      <w:r>
        <w:rPr>
          <w:rFonts w:hint="eastAsia" w:asciiTheme="minorEastAsia" w:hAnsiTheme="minorEastAsia"/>
          <w:szCs w:val="21"/>
          <w:shd w:val="clear" w:color="auto" w:fill="FFFFFF"/>
        </w:rPr>
        <w:t>如果按单价计算的结果与总价不一致，以单价为准修正总价。</w:t>
      </w:r>
    </w:p>
    <w:p>
      <w:pPr>
        <w:spacing w:line="360" w:lineRule="auto"/>
        <w:ind w:firstLine="420" w:firstLineChars="200"/>
        <w:rPr>
          <w:rFonts w:asciiTheme="minorEastAsia" w:hAnsiTheme="minorEastAsia"/>
          <w:szCs w:val="21"/>
          <w:highlight w:val="yellow"/>
          <w:shd w:val="clear" w:color="FFFFFF" w:fill="D9D9D9"/>
        </w:rPr>
      </w:pPr>
      <w:r>
        <w:rPr>
          <w:rFonts w:hint="eastAsia" w:asciiTheme="minorEastAsia" w:hAnsiTheme="minorEastAsia"/>
          <w:szCs w:val="21"/>
          <w:shd w:val="clear" w:color="auto" w:fill="FFFFFF"/>
          <w:lang w:val="en-US" w:eastAsia="zh-CN"/>
        </w:rPr>
        <w:t>2</w:t>
      </w:r>
      <w:r>
        <w:rPr>
          <w:rFonts w:hint="eastAsia" w:asciiTheme="minorEastAsia" w:hAnsiTheme="minorEastAsia"/>
          <w:szCs w:val="21"/>
          <w:shd w:val="clear" w:color="auto" w:fill="FFFFFF"/>
        </w:rPr>
        <w:t>.如果不提供详细分项报价将视为没有实质性响应采购文件。</w:t>
      </w:r>
    </w:p>
    <w:p>
      <w:pPr>
        <w:pStyle w:val="16"/>
        <w:rPr>
          <w:b/>
          <w:sz w:val="22"/>
          <w:shd w:val="clear" w:color="auto" w:fill="FFFFFF"/>
        </w:rPr>
      </w:pPr>
    </w:p>
    <w:p>
      <w:pPr>
        <w:pStyle w:val="16"/>
        <w:rPr>
          <w:b/>
          <w:sz w:val="22"/>
          <w:shd w:val="clear" w:color="auto" w:fill="FFFFFF"/>
        </w:rPr>
      </w:pPr>
    </w:p>
    <w:p>
      <w:pPr>
        <w:pStyle w:val="16"/>
        <w:rPr>
          <w:b/>
          <w:sz w:val="22"/>
          <w:shd w:val="clear" w:color="auto" w:fill="FFFFFF"/>
        </w:rPr>
      </w:pPr>
    </w:p>
    <w:p>
      <w:pPr>
        <w:pStyle w:val="16"/>
        <w:rPr>
          <w:b/>
          <w:sz w:val="22"/>
          <w:shd w:val="clear" w:color="auto" w:fill="FFFFFF"/>
        </w:rPr>
      </w:pPr>
    </w:p>
    <w:p>
      <w:pPr>
        <w:pStyle w:val="16"/>
        <w:rPr>
          <w:b/>
          <w:sz w:val="22"/>
          <w:shd w:val="clear" w:color="auto" w:fill="FFFFFF"/>
        </w:rPr>
      </w:pPr>
    </w:p>
    <w:p>
      <w:pPr>
        <w:spacing w:line="360" w:lineRule="auto"/>
        <w:rPr>
          <w:rFonts w:asciiTheme="minorEastAsia" w:hAnsiTheme="minorEastAsia"/>
          <w:szCs w:val="21"/>
          <w:u w:val="single"/>
        </w:rPr>
      </w:pPr>
      <w:r>
        <w:rPr>
          <w:rFonts w:hint="eastAsia" w:asciiTheme="minorEastAsia" w:hAnsiTheme="minorEastAsia"/>
          <w:szCs w:val="21"/>
        </w:rPr>
        <w:t>供应商法定代表人或授权代表（签字）：</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供应商名称（加盖单位公章）：</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widowControl/>
        <w:spacing w:line="360" w:lineRule="auto"/>
        <w:jc w:val="left"/>
        <w:rPr>
          <w:rFonts w:asciiTheme="minorEastAsia" w:hAnsiTheme="minorEastAsia"/>
          <w:szCs w:val="21"/>
          <w:u w:val="single"/>
        </w:rPr>
      </w:pPr>
      <w:r>
        <w:rPr>
          <w:rFonts w:hint="eastAsia" w:asciiTheme="minorEastAsia" w:hAnsiTheme="minorEastAsia"/>
          <w:szCs w:val="21"/>
        </w:rPr>
        <w:t>日期：</w:t>
      </w:r>
      <w:r>
        <w:rPr>
          <w:rFonts w:hint="eastAsia" w:asciiTheme="minorEastAsia" w:hAnsiTheme="minorEastAsia"/>
          <w:szCs w:val="21"/>
          <w:u w:val="single"/>
        </w:rPr>
        <w:t xml:space="preserve">                         </w:t>
      </w:r>
    </w:p>
    <w:p>
      <w:pPr>
        <w:pStyle w:val="16"/>
        <w:rPr>
          <w:b/>
          <w:sz w:val="22"/>
          <w:shd w:val="clear" w:color="auto" w:fill="FFFFFF"/>
        </w:rPr>
      </w:pPr>
    </w:p>
    <w:p>
      <w:pPr>
        <w:pStyle w:val="16"/>
        <w:rPr>
          <w:b/>
          <w:sz w:val="22"/>
          <w:shd w:val="clear" w:color="auto" w:fill="FFFFFF"/>
        </w:rPr>
      </w:pPr>
    </w:p>
    <w:p>
      <w:pPr>
        <w:pStyle w:val="57"/>
        <w:snapToGrid w:val="0"/>
        <w:spacing w:after="120" w:afterLines="50" w:line="360" w:lineRule="auto"/>
        <w:outlineLvl w:val="9"/>
        <w:rPr>
          <w:color w:val="000000" w:themeColor="text1"/>
          <w:sz w:val="22"/>
          <w:szCs w:val="22"/>
          <w14:textFill>
            <w14:solidFill>
              <w14:schemeClr w14:val="tx1"/>
            </w14:solidFill>
          </w14:textFill>
        </w:rPr>
      </w:pPr>
      <w:bookmarkStart w:id="29" w:name="_Toc448322559"/>
      <w:bookmarkStart w:id="30" w:name="_Toc421719955"/>
      <w:bookmarkStart w:id="31" w:name="_Toc17493"/>
      <w:bookmarkStart w:id="32" w:name="_Toc24925"/>
      <w:bookmarkStart w:id="33" w:name="_Toc28586"/>
      <w:bookmarkStart w:id="34" w:name="_Toc508200448"/>
      <w:r>
        <w:rPr>
          <w:rFonts w:hint="eastAsia"/>
          <w:color w:val="000000" w:themeColor="text1"/>
          <w:sz w:val="22"/>
          <w:szCs w:val="22"/>
          <w14:textFill>
            <w14:solidFill>
              <w14:schemeClr w14:val="tx1"/>
            </w14:solidFill>
          </w14:textFill>
        </w:rPr>
        <w:t>附件</w:t>
      </w:r>
      <w:bookmarkEnd w:id="29"/>
      <w:bookmarkEnd w:id="30"/>
      <w:r>
        <w:rPr>
          <w:rFonts w:hint="eastAsia"/>
          <w:color w:val="000000" w:themeColor="text1"/>
          <w:sz w:val="22"/>
          <w:szCs w:val="22"/>
          <w:lang w:val="en-US" w:eastAsia="zh-CN"/>
          <w14:textFill>
            <w14:solidFill>
              <w14:schemeClr w14:val="tx1"/>
            </w14:solidFill>
          </w14:textFill>
        </w:rPr>
        <w:t>3</w:t>
      </w:r>
      <w:r>
        <w:rPr>
          <w:color w:val="000000" w:themeColor="text1"/>
          <w:sz w:val="22"/>
          <w:szCs w:val="22"/>
          <w14:textFill>
            <w14:solidFill>
              <w14:schemeClr w14:val="tx1"/>
            </w14:solidFill>
          </w14:textFill>
        </w:rPr>
        <w:t xml:space="preserve"> </w:t>
      </w:r>
      <w:r>
        <w:rPr>
          <w:rFonts w:hint="eastAsia"/>
          <w:color w:val="000000" w:themeColor="text1"/>
          <w:sz w:val="22"/>
          <w:szCs w:val="22"/>
          <w:lang w:val="en-US" w:eastAsia="zh-CN"/>
          <w14:textFill>
            <w14:solidFill>
              <w14:schemeClr w14:val="tx1"/>
            </w14:solidFill>
          </w14:textFill>
        </w:rPr>
        <w:t>采购需求</w:t>
      </w:r>
      <w:r>
        <w:rPr>
          <w:rFonts w:hint="eastAsia"/>
          <w:color w:val="000000" w:themeColor="text1"/>
          <w:sz w:val="22"/>
          <w:szCs w:val="22"/>
          <w14:textFill>
            <w14:solidFill>
              <w14:schemeClr w14:val="tx1"/>
            </w14:solidFill>
          </w14:textFill>
        </w:rPr>
        <w:t>偏离表</w:t>
      </w:r>
      <w:bookmarkEnd w:id="31"/>
      <w:bookmarkEnd w:id="32"/>
      <w:bookmarkEnd w:id="33"/>
      <w:bookmarkEnd w:id="34"/>
    </w:p>
    <w:p>
      <w:pPr>
        <w:spacing w:line="360" w:lineRule="auto"/>
        <w:ind w:firstLine="420" w:firstLineChars="200"/>
        <w:rPr>
          <w:rFonts w:hint="eastAsia"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项目名称：北京按摩医院职工体检服务项目</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 xml:space="preserve">项目编号：BJAMYY-2024-06-02  </w:t>
      </w:r>
    </w:p>
    <w:p>
      <w:pPr>
        <w:pStyle w:val="18"/>
        <w:rPr>
          <w:rFonts w:hint="eastAsia"/>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003"/>
        <w:gridCol w:w="1984"/>
        <w:gridCol w:w="1418"/>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序号</w:t>
            </w:r>
          </w:p>
        </w:tc>
        <w:tc>
          <w:tcPr>
            <w:tcW w:w="40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响应文件</w:t>
            </w:r>
          </w:p>
          <w:p>
            <w:pPr>
              <w:jc w:val="center"/>
              <w:rPr>
                <w:rFonts w:asciiTheme="minorEastAsia" w:hAnsiTheme="minorEastAsia"/>
                <w:sz w:val="18"/>
                <w:szCs w:val="18"/>
              </w:rPr>
            </w:pPr>
            <w:r>
              <w:rPr>
                <w:rFonts w:hint="eastAsia" w:asciiTheme="minorEastAsia" w:hAnsiTheme="minorEastAsia"/>
                <w:sz w:val="18"/>
                <w:szCs w:val="18"/>
              </w:rPr>
              <w:t>的响应内容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偏离情况</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2</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3</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4</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5</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6</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7</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8</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9</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10</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bl>
    <w:p>
      <w:pPr>
        <w:spacing w:line="360" w:lineRule="auto"/>
        <w:rPr>
          <w:rFonts w:hint="eastAsia"/>
          <w:sz w:val="22"/>
        </w:rPr>
      </w:pPr>
    </w:p>
    <w:p>
      <w:pPr>
        <w:spacing w:line="360" w:lineRule="auto"/>
        <w:rPr>
          <w:rFonts w:hint="eastAsia"/>
          <w:sz w:val="22"/>
        </w:rPr>
      </w:pPr>
      <w:r>
        <w:rPr>
          <w:rFonts w:hint="eastAsia"/>
          <w:sz w:val="22"/>
        </w:rPr>
        <w:t>注：</w:t>
      </w:r>
    </w:p>
    <w:p>
      <w:pPr>
        <w:spacing w:line="360" w:lineRule="auto"/>
        <w:rPr>
          <w:sz w:val="22"/>
        </w:rPr>
      </w:pPr>
      <w:r>
        <w:rPr>
          <w:rFonts w:hint="eastAsia"/>
          <w:sz w:val="22"/>
        </w:rPr>
        <w:t>供应商应对遴选文件需求逐条填写偏离情况（正偏离、负偏离或无偏离），并说明偏离的具体内容及做出必要说明。供应商应对故意隐瞒偏离的行为承担责任。</w:t>
      </w:r>
    </w:p>
    <w:p>
      <w:pPr>
        <w:snapToGrid w:val="0"/>
        <w:spacing w:line="360" w:lineRule="auto"/>
        <w:rPr>
          <w:sz w:val="22"/>
        </w:rPr>
      </w:pPr>
    </w:p>
    <w:p>
      <w:pPr>
        <w:snapToGrid w:val="0"/>
        <w:spacing w:line="360" w:lineRule="auto"/>
        <w:rPr>
          <w:sz w:val="22"/>
        </w:rPr>
      </w:pPr>
    </w:p>
    <w:p>
      <w:pPr>
        <w:snapToGrid w:val="0"/>
        <w:spacing w:line="360" w:lineRule="auto"/>
        <w:rPr>
          <w:sz w:val="22"/>
        </w:rPr>
      </w:pPr>
    </w:p>
    <w:p>
      <w:pPr>
        <w:spacing w:line="360" w:lineRule="auto"/>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日期：</w:t>
      </w:r>
      <w:bookmarkStart w:id="35" w:name="_Hlt86808063"/>
      <w:bookmarkEnd w:id="35"/>
      <w:bookmarkStart w:id="36" w:name="_Hlt85616548"/>
      <w:bookmarkEnd w:id="36"/>
      <w:bookmarkStart w:id="37" w:name="_Hlt85616740"/>
      <w:bookmarkEnd w:id="37"/>
      <w:bookmarkStart w:id="38" w:name="_Toc13934"/>
      <w:bookmarkStart w:id="39" w:name="_Toc21407"/>
      <w:bookmarkStart w:id="40" w:name="_Toc32659"/>
      <w:bookmarkStart w:id="41" w:name="_Toc389141971"/>
      <w:bookmarkStart w:id="42" w:name="_Toc448322562"/>
      <w:bookmarkStart w:id="43" w:name="_Toc508200450"/>
      <w:bookmarkStart w:id="44" w:name="_Toc235857003"/>
      <w:bookmarkStart w:id="45" w:name="_Toc85430473"/>
      <w:bookmarkStart w:id="46" w:name="_Toc83547695"/>
      <w:r>
        <w:rPr>
          <w:rFonts w:hint="eastAsia"/>
          <w:sz w:val="22"/>
        </w:rPr>
        <w:t xml:space="preserve"> </w:t>
      </w:r>
      <w:r>
        <w:rPr>
          <w:sz w:val="22"/>
          <w:u w:val="single"/>
        </w:rPr>
        <w:t xml:space="preserve">                   </w:t>
      </w:r>
    </w:p>
    <w:p>
      <w:pPr>
        <w:snapToGrid w:val="0"/>
        <w:spacing w:line="360" w:lineRule="auto"/>
        <w:rPr>
          <w:sz w:val="22"/>
        </w:rPr>
      </w:pPr>
    </w:p>
    <w:bookmarkEnd w:id="38"/>
    <w:bookmarkEnd w:id="39"/>
    <w:bookmarkEnd w:id="40"/>
    <w:p>
      <w:pPr>
        <w:pStyle w:val="57"/>
        <w:snapToGrid w:val="0"/>
        <w:spacing w:after="120" w:afterLines="50" w:line="360" w:lineRule="auto"/>
        <w:jc w:val="both"/>
        <w:outlineLvl w:val="9"/>
        <w:rPr>
          <w:rFonts w:hint="eastAsia"/>
          <w:color w:val="000000" w:themeColor="text1"/>
          <w:sz w:val="22"/>
          <w:szCs w:val="22"/>
          <w14:textFill>
            <w14:solidFill>
              <w14:schemeClr w14:val="tx1"/>
            </w14:solidFill>
          </w14:textFill>
        </w:rPr>
      </w:pPr>
      <w:bookmarkStart w:id="47" w:name="_Toc8012"/>
      <w:bookmarkStart w:id="48" w:name="_Toc4167"/>
      <w:bookmarkStart w:id="49" w:name="_Toc27381"/>
    </w:p>
    <w:p>
      <w:pPr>
        <w:pStyle w:val="57"/>
        <w:snapToGrid w:val="0"/>
        <w:spacing w:after="120" w:afterLines="50" w:line="360" w:lineRule="auto"/>
        <w:outlineLvl w:val="9"/>
        <w:rPr>
          <w:rFonts w:ascii="宋体" w:hAnsi="宋体"/>
          <w:b/>
          <w:color w:val="0000FF"/>
          <w:sz w:val="36"/>
          <w:szCs w:val="36"/>
        </w:rPr>
      </w:pPr>
      <w:r>
        <w:rPr>
          <w:rFonts w:hint="eastAsia"/>
          <w:color w:val="000000" w:themeColor="text1"/>
          <w:sz w:val="22"/>
          <w:szCs w:val="22"/>
          <w14:textFill>
            <w14:solidFill>
              <w14:schemeClr w14:val="tx1"/>
            </w14:solidFill>
          </w14:textFill>
        </w:rPr>
        <w:tab/>
      </w:r>
      <w:r>
        <w:rPr>
          <w:rFonts w:hint="eastAsia"/>
          <w:color w:val="000000" w:themeColor="text1"/>
          <w:sz w:val="22"/>
          <w:szCs w:val="22"/>
          <w14:textFill>
            <w14:solidFill>
              <w14:schemeClr w14:val="tx1"/>
            </w14:solidFill>
          </w14:textFill>
        </w:rPr>
        <w:t>附件</w:t>
      </w:r>
      <w:r>
        <w:rPr>
          <w:rFonts w:hint="eastAsia"/>
          <w:color w:val="000000" w:themeColor="text1"/>
          <w:sz w:val="22"/>
          <w:szCs w:val="22"/>
          <w:lang w:val="en-US" w:eastAsia="zh-CN"/>
          <w14:textFill>
            <w14:solidFill>
              <w14:schemeClr w14:val="tx1"/>
            </w14:solidFill>
          </w14:textFill>
        </w:rPr>
        <w:t>4</w:t>
      </w:r>
      <w:r>
        <w:rPr>
          <w:rFonts w:hint="eastAsia"/>
          <w:color w:val="000000" w:themeColor="text1"/>
          <w:sz w:val="22"/>
          <w:szCs w:val="22"/>
          <w14:textFill>
            <w14:solidFill>
              <w14:schemeClr w14:val="tx1"/>
            </w14:solidFill>
          </w14:textFill>
        </w:rPr>
        <w:t xml:space="preserve"> </w:t>
      </w:r>
      <w:r>
        <w:rPr>
          <w:rFonts w:hint="eastAsia"/>
          <w:color w:val="000000" w:themeColor="text1"/>
          <w:sz w:val="22"/>
          <w:szCs w:val="22"/>
          <w:lang w:val="en-US" w:eastAsia="zh-CN"/>
          <w14:textFill>
            <w14:solidFill>
              <w14:schemeClr w14:val="tx1"/>
            </w14:solidFill>
          </w14:textFill>
        </w:rPr>
        <w:t>合同条款偏离</w:t>
      </w:r>
      <w:r>
        <w:rPr>
          <w:rFonts w:hint="eastAsia" w:ascii="宋体" w:hAnsi="宋体" w:eastAsia="宋体" w:cs="宋体"/>
          <w:b/>
          <w:bCs/>
          <w:color w:val="000000" w:themeColor="text1"/>
          <w:kern w:val="2"/>
          <w:sz w:val="22"/>
          <w:szCs w:val="22"/>
          <w:lang w:val="en-US" w:eastAsia="zh-CN" w:bidi="ar-SA"/>
          <w14:textFill>
            <w14:solidFill>
              <w14:schemeClr w14:val="tx1"/>
            </w14:solidFill>
          </w14:textFill>
        </w:rPr>
        <w:t>表</w:t>
      </w:r>
    </w:p>
    <w:p>
      <w:pPr>
        <w:spacing w:line="360" w:lineRule="auto"/>
        <w:ind w:firstLine="420" w:firstLineChars="200"/>
        <w:rPr>
          <w:rFonts w:hint="eastAsia"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项目名称：北京按摩医院职工体检服务项目</w:t>
      </w:r>
    </w:p>
    <w:p>
      <w:pPr>
        <w:spacing w:line="360" w:lineRule="auto"/>
        <w:ind w:firstLine="420" w:firstLineChars="200"/>
        <w:rPr>
          <w:rFonts w:hint="default" w:asciiTheme="minorEastAsia" w:hAnsiTheme="minorEastAsia" w:cstheme="minorBidi"/>
          <w:kern w:val="0"/>
          <w:sz w:val="21"/>
          <w:szCs w:val="21"/>
          <w:u w:val="none"/>
          <w:lang w:val="en-US" w:eastAsia="zh-CN" w:bidi="ar-SA"/>
        </w:rPr>
      </w:pPr>
      <w:r>
        <w:rPr>
          <w:rFonts w:hint="eastAsia" w:asciiTheme="minorEastAsia" w:hAnsiTheme="minorEastAsia" w:cstheme="minorBidi"/>
          <w:kern w:val="0"/>
          <w:sz w:val="21"/>
          <w:szCs w:val="21"/>
          <w:u w:val="none"/>
          <w:lang w:val="en-US" w:eastAsia="zh-CN" w:bidi="ar-SA"/>
        </w:rPr>
        <w:t xml:space="preserve">项目编号：BJAMYY-2024-06-02  </w:t>
      </w:r>
    </w:p>
    <w:p>
      <w:pPr>
        <w:pStyle w:val="18"/>
        <w:rPr>
          <w:rFonts w:hint="eastAsia"/>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pPr>
              <w:adjustRightInd w:val="0"/>
              <w:snapToGrid w:val="0"/>
              <w:spacing w:line="360" w:lineRule="auto"/>
              <w:jc w:val="left"/>
              <w:rPr>
                <w:rFonts w:ascii="宋体" w:hAnsi="宋体"/>
                <w:b/>
                <w:color w:val="000000"/>
                <w:sz w:val="24"/>
              </w:rPr>
            </w:pPr>
            <w:r>
              <w:rPr>
                <w:rFonts w:hint="eastAsia" w:ascii="宋体" w:hAnsi="宋体"/>
                <w:b/>
                <w:color w:val="000000"/>
                <w:sz w:val="24"/>
              </w:rPr>
              <w:t>对本项目合同条款的偏离情况（请进行勾选）：</w:t>
            </w:r>
          </w:p>
          <w:p>
            <w:pPr>
              <w:adjustRightInd w:val="0"/>
              <w:snapToGrid w:val="0"/>
              <w:spacing w:line="360" w:lineRule="auto"/>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pPr>
              <w:adjustRightInd w:val="0"/>
              <w:snapToGrid w:val="0"/>
              <w:spacing w:line="360" w:lineRule="auto"/>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序号</w:t>
            </w:r>
          </w:p>
        </w:tc>
        <w:tc>
          <w:tcPr>
            <w:tcW w:w="1301"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文件条目号</w:t>
            </w:r>
          </w:p>
        </w:tc>
        <w:tc>
          <w:tcPr>
            <w:tcW w:w="2007"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文件要求</w:t>
            </w:r>
          </w:p>
        </w:tc>
        <w:tc>
          <w:tcPr>
            <w:tcW w:w="2008"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响应文件内容</w:t>
            </w:r>
          </w:p>
        </w:tc>
        <w:tc>
          <w:tcPr>
            <w:tcW w:w="2458"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偏离情况</w:t>
            </w:r>
          </w:p>
          <w:p>
            <w:pPr>
              <w:jc w:val="center"/>
              <w:rPr>
                <w:rFonts w:hint="eastAsia" w:asciiTheme="minorEastAsia" w:hAnsiTheme="minorEastAsia"/>
                <w:sz w:val="18"/>
                <w:szCs w:val="18"/>
              </w:rPr>
            </w:pPr>
            <w:r>
              <w:rPr>
                <w:rFonts w:hint="eastAsia" w:asciiTheme="minorEastAsia" w:hAnsiTheme="minorEastAsia"/>
                <w:sz w:val="18"/>
                <w:szCs w:val="18"/>
              </w:rPr>
              <w:t>（据实填写）</w:t>
            </w:r>
          </w:p>
        </w:tc>
        <w:tc>
          <w:tcPr>
            <w:tcW w:w="788" w:type="dxa"/>
            <w:noWrap w:val="0"/>
            <w:vAlign w:val="center"/>
          </w:tcPr>
          <w:p>
            <w:pPr>
              <w:jc w:val="center"/>
              <w:rPr>
                <w:rFonts w:hint="eastAsia"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noWrap w:val="0"/>
            <w:vAlign w:val="center"/>
          </w:tcPr>
          <w:p>
            <w:pPr>
              <w:adjustRightInd w:val="0"/>
              <w:snapToGrid w:val="0"/>
              <w:spacing w:line="360" w:lineRule="auto"/>
              <w:jc w:val="center"/>
              <w:rPr>
                <w:rFonts w:ascii="宋体" w:hAnsi="宋体"/>
                <w:color w:val="000000"/>
                <w:sz w:val="24"/>
              </w:rPr>
            </w:pPr>
          </w:p>
        </w:tc>
        <w:tc>
          <w:tcPr>
            <w:tcW w:w="1301" w:type="dxa"/>
            <w:noWrap w:val="0"/>
            <w:vAlign w:val="center"/>
          </w:tcPr>
          <w:p>
            <w:pPr>
              <w:adjustRightInd w:val="0"/>
              <w:snapToGrid w:val="0"/>
              <w:spacing w:line="360" w:lineRule="auto"/>
              <w:jc w:val="center"/>
              <w:rPr>
                <w:rFonts w:ascii="宋体" w:hAnsi="宋体"/>
                <w:color w:val="000000"/>
                <w:sz w:val="24"/>
              </w:rPr>
            </w:pPr>
          </w:p>
        </w:tc>
        <w:tc>
          <w:tcPr>
            <w:tcW w:w="2007" w:type="dxa"/>
            <w:noWrap w:val="0"/>
            <w:vAlign w:val="center"/>
          </w:tcPr>
          <w:p>
            <w:pPr>
              <w:adjustRightInd w:val="0"/>
              <w:snapToGrid w:val="0"/>
              <w:spacing w:line="360" w:lineRule="auto"/>
              <w:jc w:val="center"/>
              <w:rPr>
                <w:rFonts w:ascii="宋体" w:hAnsi="宋体"/>
                <w:color w:val="000000"/>
                <w:sz w:val="24"/>
              </w:rPr>
            </w:pPr>
          </w:p>
        </w:tc>
        <w:tc>
          <w:tcPr>
            <w:tcW w:w="2008" w:type="dxa"/>
            <w:noWrap w:val="0"/>
            <w:vAlign w:val="center"/>
          </w:tcPr>
          <w:p>
            <w:pPr>
              <w:adjustRightInd w:val="0"/>
              <w:snapToGrid w:val="0"/>
              <w:spacing w:line="360" w:lineRule="auto"/>
              <w:jc w:val="center"/>
              <w:rPr>
                <w:rFonts w:ascii="宋体" w:hAnsi="宋体"/>
                <w:color w:val="000000"/>
                <w:sz w:val="24"/>
              </w:rPr>
            </w:pPr>
          </w:p>
        </w:tc>
        <w:tc>
          <w:tcPr>
            <w:tcW w:w="2458" w:type="dxa"/>
            <w:noWrap w:val="0"/>
            <w:vAlign w:val="center"/>
          </w:tcPr>
          <w:p>
            <w:pPr>
              <w:adjustRightInd w:val="0"/>
              <w:snapToGrid w:val="0"/>
              <w:spacing w:line="360" w:lineRule="auto"/>
              <w:jc w:val="center"/>
              <w:rPr>
                <w:rFonts w:ascii="宋体" w:hAnsi="宋体"/>
                <w:color w:val="000000"/>
                <w:sz w:val="24"/>
              </w:rPr>
            </w:pPr>
          </w:p>
        </w:tc>
        <w:tc>
          <w:tcPr>
            <w:tcW w:w="788" w:type="dxa"/>
            <w:noWrap w:val="0"/>
            <w:vAlign w:val="center"/>
          </w:tcPr>
          <w:p>
            <w:pPr>
              <w:adjustRightInd w:val="0"/>
              <w:snapToGrid w:val="0"/>
              <w:spacing w:line="360" w:lineRule="auto"/>
              <w:jc w:val="center"/>
              <w:rPr>
                <w:rFonts w:ascii="宋体" w:hAnsi="宋体"/>
                <w:color w:val="000000"/>
                <w:sz w:val="24"/>
              </w:rPr>
            </w:pPr>
          </w:p>
        </w:tc>
      </w:tr>
    </w:tbl>
    <w:p>
      <w:pPr>
        <w:tabs>
          <w:tab w:val="left" w:pos="1800"/>
          <w:tab w:val="left" w:pos="5580"/>
        </w:tabs>
        <w:spacing w:line="360" w:lineRule="auto"/>
        <w:jc w:val="left"/>
        <w:rPr>
          <w:rFonts w:ascii="宋体" w:hAnsi="宋体"/>
          <w:color w:val="000000"/>
          <w:sz w:val="24"/>
        </w:rPr>
      </w:pPr>
    </w:p>
    <w:p>
      <w:pPr>
        <w:spacing w:line="360" w:lineRule="auto"/>
        <w:rPr>
          <w:rFonts w:hint="eastAsia"/>
          <w:sz w:val="22"/>
        </w:rPr>
      </w:pPr>
      <w:r>
        <w:rPr>
          <w:rFonts w:hint="eastAsia"/>
          <w:sz w:val="22"/>
        </w:rPr>
        <w:t>注：</w:t>
      </w:r>
    </w:p>
    <w:p>
      <w:pPr>
        <w:spacing w:line="360" w:lineRule="auto"/>
        <w:rPr>
          <w:rFonts w:hint="eastAsia"/>
          <w:sz w:val="22"/>
        </w:rPr>
      </w:pPr>
      <w:r>
        <w:rPr>
          <w:rFonts w:hint="eastAsia"/>
          <w:sz w:val="22"/>
        </w:rPr>
        <w:t>1. 对合同条款中的所有要求，除本表所列明的所有偏离外，均视作供应商已对之理解和响应。</w:t>
      </w:r>
    </w:p>
    <w:p>
      <w:pPr>
        <w:spacing w:line="360" w:lineRule="auto"/>
        <w:rPr>
          <w:rFonts w:hint="eastAsia"/>
          <w:sz w:val="22"/>
        </w:rPr>
      </w:pPr>
      <w:r>
        <w:rPr>
          <w:rFonts w:hint="eastAsia"/>
          <w:sz w:val="22"/>
        </w:rPr>
        <w:t>2. “偏离情况”列应据实填写“正偏离”或“负偏离”。</w:t>
      </w:r>
    </w:p>
    <w:p>
      <w:pPr>
        <w:spacing w:line="360" w:lineRule="auto"/>
        <w:rPr>
          <w:rFonts w:ascii="宋体" w:hAnsi="宋体"/>
          <w:color w:val="000000"/>
          <w:sz w:val="24"/>
          <w:szCs w:val="20"/>
        </w:rPr>
      </w:pPr>
    </w:p>
    <w:p>
      <w:pPr>
        <w:spacing w:line="360" w:lineRule="auto"/>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 xml:space="preserve">日期： </w:t>
      </w:r>
      <w:r>
        <w:rPr>
          <w:sz w:val="22"/>
          <w:u w:val="single"/>
        </w:rPr>
        <w:t xml:space="preserve">                   </w:t>
      </w:r>
    </w:p>
    <w:p>
      <w:pPr>
        <w:pStyle w:val="57"/>
        <w:snapToGrid w:val="0"/>
        <w:spacing w:after="120" w:afterLines="50" w:line="360" w:lineRule="auto"/>
        <w:outlineLvl w:val="9"/>
        <w:rPr>
          <w:rFonts w:cs="黑体"/>
          <w:bCs w:val="0"/>
          <w:sz w:val="22"/>
          <w:szCs w:val="22"/>
        </w:rPr>
      </w:pPr>
    </w:p>
    <w:p>
      <w:pPr>
        <w:pStyle w:val="57"/>
        <w:snapToGrid w:val="0"/>
        <w:spacing w:after="120" w:afterLines="50" w:line="360" w:lineRule="auto"/>
        <w:outlineLvl w:val="9"/>
        <w:rPr>
          <w:rFonts w:cs="黑体"/>
          <w:bCs w:val="0"/>
          <w:sz w:val="22"/>
          <w:szCs w:val="22"/>
        </w:rPr>
      </w:pPr>
    </w:p>
    <w:p>
      <w:pPr>
        <w:pStyle w:val="57"/>
        <w:snapToGrid w:val="0"/>
        <w:spacing w:after="120" w:afterLines="50" w:line="360" w:lineRule="auto"/>
        <w:outlineLvl w:val="9"/>
        <w:rPr>
          <w:rFonts w:cs="黑体"/>
          <w:bCs w:val="0"/>
          <w:sz w:val="22"/>
          <w:szCs w:val="22"/>
        </w:rPr>
      </w:pPr>
    </w:p>
    <w:p>
      <w:pPr>
        <w:pStyle w:val="57"/>
        <w:snapToGrid w:val="0"/>
        <w:spacing w:after="120" w:afterLines="50" w:line="360" w:lineRule="auto"/>
        <w:outlineLvl w:val="9"/>
        <w:rPr>
          <w:rFonts w:cs="黑体"/>
          <w:bCs w:val="0"/>
          <w:sz w:val="22"/>
          <w:szCs w:val="22"/>
        </w:rPr>
      </w:pPr>
    </w:p>
    <w:p>
      <w:pPr>
        <w:pStyle w:val="57"/>
        <w:snapToGrid w:val="0"/>
        <w:spacing w:after="120" w:afterLines="50" w:line="360" w:lineRule="auto"/>
        <w:outlineLvl w:val="9"/>
        <w:rPr>
          <w:rFonts w:hint="eastAsia" w:cs="黑体"/>
          <w:bCs w:val="0"/>
          <w:sz w:val="22"/>
          <w:szCs w:val="22"/>
        </w:rPr>
      </w:pPr>
    </w:p>
    <w:p>
      <w:pPr>
        <w:pStyle w:val="57"/>
        <w:snapToGrid w:val="0"/>
        <w:spacing w:after="120" w:afterLines="50" w:line="360" w:lineRule="auto"/>
        <w:outlineLvl w:val="9"/>
        <w:rPr>
          <w:rFonts w:cs="黑体"/>
          <w:bCs w:val="0"/>
          <w:sz w:val="22"/>
          <w:szCs w:val="22"/>
        </w:rPr>
      </w:pPr>
      <w:r>
        <w:rPr>
          <w:rFonts w:hint="eastAsia" w:cs="黑体"/>
          <w:bCs w:val="0"/>
          <w:sz w:val="22"/>
          <w:szCs w:val="22"/>
        </w:rPr>
        <w:t>附件</w:t>
      </w:r>
      <w:r>
        <w:rPr>
          <w:rFonts w:hint="eastAsia" w:cs="黑体"/>
          <w:bCs w:val="0"/>
          <w:sz w:val="22"/>
          <w:szCs w:val="22"/>
          <w:lang w:val="en-US" w:eastAsia="zh-CN"/>
        </w:rPr>
        <w:t>5</w:t>
      </w:r>
      <w:r>
        <w:rPr>
          <w:rFonts w:cs="Arial"/>
          <w:bCs w:val="0"/>
          <w:sz w:val="22"/>
          <w:szCs w:val="22"/>
        </w:rPr>
        <w:t xml:space="preserve">  </w:t>
      </w:r>
      <w:r>
        <w:rPr>
          <w:rFonts w:hint="eastAsia" w:cs="黑体"/>
          <w:bCs w:val="0"/>
          <w:sz w:val="22"/>
          <w:szCs w:val="22"/>
        </w:rPr>
        <w:t>法定代表人授权书</w:t>
      </w:r>
      <w:bookmarkEnd w:id="41"/>
      <w:bookmarkEnd w:id="42"/>
      <w:bookmarkEnd w:id="43"/>
      <w:bookmarkEnd w:id="47"/>
      <w:bookmarkEnd w:id="48"/>
      <w:bookmarkEnd w:id="49"/>
    </w:p>
    <w:p>
      <w:pPr>
        <w:pStyle w:val="57"/>
        <w:snapToGrid w:val="0"/>
        <w:spacing w:after="120" w:afterLines="50" w:line="360" w:lineRule="auto"/>
        <w:outlineLvl w:val="9"/>
        <w:rPr>
          <w:bCs w:val="0"/>
          <w:sz w:val="22"/>
          <w:szCs w:val="22"/>
        </w:rPr>
      </w:pPr>
    </w:p>
    <w:p>
      <w:pPr>
        <w:snapToGrid w:val="0"/>
        <w:spacing w:after="120" w:afterLines="50" w:line="360" w:lineRule="auto"/>
        <w:rPr>
          <w:rFonts w:cs="Arial"/>
          <w:sz w:val="22"/>
        </w:rPr>
      </w:pPr>
      <w:r>
        <w:rPr>
          <w:rFonts w:hint="eastAsia"/>
          <w:sz w:val="22"/>
        </w:rPr>
        <w:t>致：</w:t>
      </w:r>
      <w:r>
        <w:rPr>
          <w:rFonts w:hint="eastAsia"/>
          <w:sz w:val="22"/>
          <w:u w:val="single"/>
        </w:rPr>
        <w:t>北京按摩医院</w:t>
      </w:r>
    </w:p>
    <w:p>
      <w:pPr>
        <w:snapToGrid w:val="0"/>
        <w:spacing w:line="360" w:lineRule="auto"/>
        <w:ind w:firstLine="540"/>
        <w:rPr>
          <w:rFonts w:cs="Arial"/>
          <w:sz w:val="22"/>
        </w:rPr>
      </w:pPr>
      <w:r>
        <w:rPr>
          <w:rFonts w:hint="eastAsia"/>
          <w:sz w:val="22"/>
        </w:rPr>
        <w:t>注册于（国家或地区的名称）的</w:t>
      </w:r>
      <w:r>
        <w:rPr>
          <w:rFonts w:cs="Arial"/>
          <w:sz w:val="22"/>
        </w:rPr>
        <w:t>_______________</w:t>
      </w:r>
      <w:r>
        <w:rPr>
          <w:rFonts w:hint="eastAsia"/>
          <w:sz w:val="22"/>
        </w:rPr>
        <w:t>（公司名称）的在下面签字的</w:t>
      </w:r>
      <w:r>
        <w:rPr>
          <w:rFonts w:hint="eastAsia"/>
          <w:sz w:val="22"/>
          <w:u w:val="none"/>
        </w:rPr>
        <w:t>（</w:t>
      </w:r>
      <w:r>
        <w:rPr>
          <w:rFonts w:hint="eastAsia"/>
          <w:sz w:val="22"/>
          <w:u w:val="single"/>
        </w:rPr>
        <w:t>法定代表人或</w:t>
      </w:r>
      <w:r>
        <w:rPr>
          <w:sz w:val="22"/>
          <w:u w:val="single"/>
        </w:rPr>
        <w:t>负责人</w:t>
      </w:r>
      <w:r>
        <w:rPr>
          <w:rFonts w:hint="eastAsia"/>
          <w:sz w:val="22"/>
          <w:u w:val="single"/>
        </w:rPr>
        <w:t>姓名、职务</w:t>
      </w:r>
      <w:r>
        <w:rPr>
          <w:rFonts w:hint="eastAsia"/>
          <w:sz w:val="22"/>
          <w:u w:val="none"/>
        </w:rPr>
        <w:t>）</w:t>
      </w:r>
      <w:r>
        <w:rPr>
          <w:rFonts w:hint="eastAsia"/>
          <w:sz w:val="22"/>
        </w:rPr>
        <w:t>代表本公司授权</w:t>
      </w:r>
      <w:r>
        <w:rPr>
          <w:rFonts w:cs="Arial"/>
          <w:sz w:val="22"/>
        </w:rPr>
        <w:t>_______________</w:t>
      </w:r>
      <w:r>
        <w:rPr>
          <w:rFonts w:hint="eastAsia"/>
          <w:sz w:val="22"/>
        </w:rPr>
        <w:t>（公司名称）的在下面签字的（</w:t>
      </w:r>
      <w:r>
        <w:rPr>
          <w:rFonts w:hint="eastAsia"/>
          <w:sz w:val="22"/>
          <w:u w:val="single"/>
        </w:rPr>
        <w:t>被授权人的姓名、职务</w:t>
      </w:r>
      <w:r>
        <w:rPr>
          <w:rFonts w:hint="eastAsia"/>
          <w:sz w:val="22"/>
          <w:u w:val="none"/>
        </w:rPr>
        <w:t>）</w:t>
      </w:r>
      <w:r>
        <w:rPr>
          <w:rFonts w:hint="eastAsia"/>
          <w:sz w:val="22"/>
        </w:rPr>
        <w:t>为本公司的合法代理人，就（</w:t>
      </w:r>
      <w:r>
        <w:rPr>
          <w:rFonts w:hint="eastAsia"/>
          <w:sz w:val="22"/>
          <w:u w:val="single"/>
        </w:rPr>
        <w:t>项目名称</w:t>
      </w:r>
      <w:r>
        <w:rPr>
          <w:rFonts w:hint="eastAsia"/>
          <w:sz w:val="22"/>
        </w:rPr>
        <w:t>、</w:t>
      </w:r>
      <w:r>
        <w:rPr>
          <w:rFonts w:hint="eastAsia"/>
          <w:sz w:val="22"/>
          <w:u w:val="single"/>
        </w:rPr>
        <w:t>遴选文件编号</w:t>
      </w:r>
      <w:r>
        <w:rPr>
          <w:rFonts w:hint="eastAsia"/>
          <w:sz w:val="22"/>
        </w:rPr>
        <w:t>）的院内遴选，以本公司名义处理一切与之有关的事务。</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本授权书于</w:t>
      </w:r>
      <w:r>
        <w:rPr>
          <w:sz w:val="22"/>
          <w:u w:val="single"/>
        </w:rPr>
        <w:t xml:space="preserve">    </w:t>
      </w:r>
      <w:r>
        <w:rPr>
          <w:rFonts w:hint="eastAsia"/>
          <w:sz w:val="22"/>
        </w:rPr>
        <w:t>年</w:t>
      </w:r>
      <w:r>
        <w:rPr>
          <w:sz w:val="22"/>
          <w:u w:val="single"/>
        </w:rPr>
        <w:t xml:space="preserve">    </w:t>
      </w:r>
      <w:r>
        <w:rPr>
          <w:rFonts w:hint="eastAsia"/>
          <w:sz w:val="22"/>
        </w:rPr>
        <w:t>月</w:t>
      </w:r>
      <w:r>
        <w:rPr>
          <w:sz w:val="22"/>
          <w:u w:val="single"/>
        </w:rPr>
        <w:t xml:space="preserve">    </w:t>
      </w:r>
      <w:r>
        <w:rPr>
          <w:rFonts w:hint="eastAsia"/>
          <w:sz w:val="22"/>
        </w:rPr>
        <w:t>日盖章生效，特此声明。</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法定代表人签字或签章：</w:t>
      </w:r>
    </w:p>
    <w:p>
      <w:pPr>
        <w:snapToGrid w:val="0"/>
        <w:spacing w:line="360" w:lineRule="auto"/>
        <w:ind w:firstLine="540"/>
        <w:rPr>
          <w:rFonts w:cs="Arial"/>
          <w:sz w:val="22"/>
        </w:rPr>
      </w:pPr>
      <w:r>
        <w:rPr>
          <w:rFonts w:hint="eastAsia"/>
          <w:sz w:val="22"/>
        </w:rPr>
        <w:t>被授权人签字：</w:t>
      </w:r>
    </w:p>
    <w:p>
      <w:pPr>
        <w:snapToGrid w:val="0"/>
        <w:spacing w:line="360" w:lineRule="auto"/>
        <w:ind w:firstLine="540"/>
        <w:rPr>
          <w:rFonts w:hint="eastAsia"/>
          <w:sz w:val="22"/>
        </w:rPr>
      </w:pPr>
      <w:r>
        <w:rPr>
          <w:rFonts w:hint="eastAsia"/>
          <w:color w:val="000000"/>
          <w:sz w:val="22"/>
        </w:rPr>
        <w:t>供应商</w:t>
      </w:r>
      <w:r>
        <w:rPr>
          <w:rFonts w:hint="eastAsia"/>
          <w:sz w:val="22"/>
        </w:rPr>
        <w:t>全称（加盖单位公章）：</w:t>
      </w:r>
    </w:p>
    <w:p>
      <w:pPr>
        <w:snapToGrid w:val="0"/>
        <w:spacing w:line="360" w:lineRule="auto"/>
        <w:ind w:firstLine="540"/>
        <w:rPr>
          <w:sz w:val="22"/>
        </w:rPr>
      </w:pPr>
      <w:r>
        <w:rPr>
          <w:rFonts w:hint="eastAsia"/>
          <w:sz w:val="22"/>
        </w:rPr>
        <w:t xml:space="preserve">日期： </w:t>
      </w:r>
    </w:p>
    <w:p>
      <w:pPr>
        <w:snapToGrid w:val="0"/>
        <w:spacing w:line="360" w:lineRule="auto"/>
        <w:ind w:firstLine="540"/>
        <w:rPr>
          <w:sz w:val="22"/>
        </w:rPr>
        <w:sectPr>
          <w:headerReference r:id="rId3" w:type="default"/>
          <w:footerReference r:id="rId4" w:type="default"/>
          <w:pgSz w:w="11906" w:h="16838"/>
          <w:pgMar w:top="1247" w:right="1247" w:bottom="1247" w:left="1247" w:header="709" w:footer="992" w:gutter="0"/>
          <w:pgBorders>
            <w:top w:val="none" w:sz="0" w:space="0"/>
            <w:left w:val="none" w:sz="0" w:space="0"/>
            <w:bottom w:val="none" w:sz="0" w:space="0"/>
            <w:right w:val="none" w:sz="0" w:space="0"/>
          </w:pgBorders>
          <w:cols w:space="720" w:num="1"/>
        </w:sectPr>
      </w:pPr>
      <w:bookmarkStart w:id="50" w:name="_Toc378679685"/>
      <w:r>
        <w:rPr>
          <w:rFonts w:hint="eastAsia"/>
          <w:b/>
          <w:sz w:val="22"/>
        </w:rPr>
        <w:t>（后附法定代表人和被授权人身份证复印件加盖单位公章）</w:t>
      </w:r>
    </w:p>
    <w:bookmarkEnd w:id="44"/>
    <w:bookmarkEnd w:id="45"/>
    <w:bookmarkEnd w:id="46"/>
    <w:bookmarkEnd w:id="50"/>
    <w:p>
      <w:pPr>
        <w:spacing w:line="360" w:lineRule="auto"/>
        <w:jc w:val="center"/>
        <w:rPr>
          <w:rFonts w:hint="eastAsia" w:ascii="宋体" w:hAnsi="宋体" w:eastAsia="宋体" w:cs="宋体"/>
          <w:b/>
          <w:bCs/>
          <w:kern w:val="2"/>
          <w:sz w:val="22"/>
          <w:szCs w:val="22"/>
          <w:lang w:val="en-US" w:eastAsia="zh-CN" w:bidi="ar-SA"/>
        </w:rPr>
      </w:pPr>
      <w:bookmarkStart w:id="51" w:name="_Toc12118"/>
      <w:bookmarkStart w:id="52" w:name="_Toc21503"/>
      <w:bookmarkStart w:id="53" w:name="_Toc448322565"/>
      <w:bookmarkStart w:id="54" w:name="_Toc421719963"/>
      <w:bookmarkStart w:id="55" w:name="_Toc508200453"/>
      <w:bookmarkStart w:id="56" w:name="_Toc303"/>
      <w:bookmarkStart w:id="57" w:name="_Toc235857007"/>
      <w:r>
        <w:rPr>
          <w:rFonts w:hint="eastAsia" w:ascii="宋体" w:hAnsi="宋体" w:eastAsia="宋体" w:cs="宋体"/>
          <w:b/>
          <w:bCs/>
          <w:kern w:val="2"/>
          <w:sz w:val="22"/>
          <w:szCs w:val="22"/>
          <w:lang w:val="en-US" w:eastAsia="zh-CN" w:bidi="ar-SA"/>
        </w:rPr>
        <w:t>附件6  响应书</w:t>
      </w:r>
    </w:p>
    <w:p>
      <w:pPr>
        <w:pStyle w:val="18"/>
        <w:rPr>
          <w:rFonts w:hint="eastAsia"/>
          <w:lang w:val="en-US" w:eastAsia="zh-CN"/>
        </w:rPr>
      </w:pPr>
    </w:p>
    <w:p>
      <w:pPr>
        <w:tabs>
          <w:tab w:val="left" w:pos="5580"/>
        </w:tabs>
        <w:spacing w:line="360" w:lineRule="auto"/>
        <w:rPr>
          <w:rFonts w:hint="default" w:ascii="宋体" w:hAnsi="宋体"/>
          <w:color w:val="000000"/>
          <w:sz w:val="22"/>
          <w:szCs w:val="22"/>
          <w:lang w:val="en-US"/>
        </w:rPr>
      </w:pPr>
      <w:r>
        <w:rPr>
          <w:rFonts w:ascii="宋体" w:hAnsi="宋体"/>
          <w:color w:val="000000"/>
          <w:sz w:val="22"/>
          <w:szCs w:val="22"/>
        </w:rPr>
        <w:t>致：</w:t>
      </w:r>
      <w:r>
        <w:rPr>
          <w:rFonts w:hint="eastAsia" w:ascii="宋体" w:hAnsi="宋体"/>
          <w:color w:val="000000"/>
          <w:sz w:val="22"/>
          <w:szCs w:val="22"/>
          <w:u w:val="single"/>
          <w:lang w:val="en-US" w:eastAsia="zh-CN"/>
        </w:rPr>
        <w:t xml:space="preserve">  北京按摩医院  </w:t>
      </w:r>
    </w:p>
    <w:p>
      <w:pPr>
        <w:tabs>
          <w:tab w:val="left" w:pos="5580"/>
        </w:tabs>
        <w:spacing w:line="360" w:lineRule="auto"/>
        <w:rPr>
          <w:rFonts w:ascii="宋体" w:hAnsi="宋体"/>
          <w:color w:val="000000"/>
          <w:sz w:val="22"/>
          <w:szCs w:val="22"/>
        </w:rPr>
      </w:pPr>
    </w:p>
    <w:p>
      <w:pPr>
        <w:tabs>
          <w:tab w:val="left" w:pos="5580"/>
        </w:tabs>
        <w:spacing w:line="360" w:lineRule="auto"/>
        <w:ind w:firstLine="408"/>
        <w:rPr>
          <w:rFonts w:ascii="宋体" w:hAnsi="宋体"/>
          <w:color w:val="000000"/>
          <w:sz w:val="22"/>
          <w:szCs w:val="22"/>
        </w:rPr>
      </w:pPr>
      <w:r>
        <w:rPr>
          <w:rFonts w:ascii="宋体" w:hAnsi="宋体"/>
          <w:color w:val="000000"/>
          <w:sz w:val="22"/>
          <w:szCs w:val="22"/>
        </w:rPr>
        <w:t>我方参加你方就</w:t>
      </w:r>
      <w:r>
        <w:rPr>
          <w:rFonts w:ascii="宋体" w:hAnsi="宋体"/>
          <w:sz w:val="22"/>
          <w:szCs w:val="22"/>
          <w:u w:val="single"/>
        </w:rPr>
        <w:t xml:space="preserve">                  </w:t>
      </w:r>
      <w:r>
        <w:rPr>
          <w:rFonts w:ascii="宋体" w:hAnsi="宋体"/>
          <w:color w:val="000000"/>
          <w:sz w:val="22"/>
          <w:szCs w:val="22"/>
        </w:rPr>
        <w:t>（项目名称，项目编号）组织的采购活动，并对此项目进行</w:t>
      </w:r>
      <w:r>
        <w:rPr>
          <w:rFonts w:hint="eastAsia" w:ascii="宋体" w:hAnsi="宋体"/>
          <w:color w:val="000000"/>
          <w:sz w:val="22"/>
          <w:szCs w:val="22"/>
          <w:lang w:val="en-US" w:eastAsia="zh-CN"/>
        </w:rPr>
        <w:t>遴选</w:t>
      </w:r>
      <w:r>
        <w:rPr>
          <w:rFonts w:ascii="宋体" w:hAnsi="宋体"/>
          <w:color w:val="000000"/>
          <w:sz w:val="22"/>
          <w:szCs w:val="22"/>
        </w:rPr>
        <w:t>。</w:t>
      </w:r>
    </w:p>
    <w:p>
      <w:pPr>
        <w:tabs>
          <w:tab w:val="left" w:pos="5580"/>
        </w:tabs>
        <w:spacing w:line="360" w:lineRule="auto"/>
        <w:ind w:firstLine="408"/>
        <w:rPr>
          <w:rFonts w:ascii="宋体" w:hAnsi="宋体"/>
          <w:color w:val="000000"/>
          <w:sz w:val="22"/>
          <w:szCs w:val="22"/>
        </w:rPr>
      </w:pPr>
      <w:r>
        <w:rPr>
          <w:rFonts w:ascii="宋体" w:hAnsi="宋体"/>
          <w:color w:val="000000"/>
          <w:sz w:val="22"/>
          <w:szCs w:val="22"/>
        </w:rPr>
        <w:t>1. 我方已详细审查全部</w:t>
      </w:r>
      <w:r>
        <w:rPr>
          <w:rFonts w:hint="eastAsia" w:ascii="宋体" w:hAnsi="宋体"/>
          <w:color w:val="000000"/>
          <w:sz w:val="22"/>
          <w:szCs w:val="22"/>
          <w:lang w:val="en-US" w:eastAsia="zh-CN"/>
        </w:rPr>
        <w:t>遴选</w:t>
      </w:r>
      <w:r>
        <w:rPr>
          <w:rFonts w:ascii="宋体" w:hAnsi="宋体"/>
          <w:color w:val="000000"/>
          <w:sz w:val="22"/>
          <w:szCs w:val="22"/>
        </w:rPr>
        <w:t>文件，自愿参与</w:t>
      </w:r>
      <w:r>
        <w:rPr>
          <w:rFonts w:hint="eastAsia" w:ascii="宋体" w:hAnsi="宋体"/>
          <w:color w:val="000000"/>
          <w:sz w:val="22"/>
          <w:szCs w:val="22"/>
          <w:lang w:val="en-US" w:eastAsia="zh-CN"/>
        </w:rPr>
        <w:t>遴选</w:t>
      </w:r>
      <w:r>
        <w:rPr>
          <w:rFonts w:ascii="宋体" w:hAnsi="宋体"/>
          <w:color w:val="000000"/>
          <w:sz w:val="22"/>
          <w:szCs w:val="22"/>
        </w:rPr>
        <w:t>并承诺如下：</w:t>
      </w:r>
    </w:p>
    <w:p>
      <w:pPr>
        <w:tabs>
          <w:tab w:val="left" w:pos="720"/>
          <w:tab w:val="left" w:pos="900"/>
        </w:tabs>
        <w:spacing w:line="360" w:lineRule="auto"/>
        <w:ind w:left="360" w:firstLine="66" w:firstLineChars="30"/>
        <w:rPr>
          <w:rFonts w:ascii="宋体" w:hAnsi="宋体"/>
          <w:color w:val="000000"/>
          <w:sz w:val="22"/>
          <w:szCs w:val="22"/>
        </w:rPr>
      </w:pPr>
      <w:r>
        <w:rPr>
          <w:rFonts w:ascii="宋体" w:hAnsi="宋体"/>
          <w:color w:val="000000"/>
          <w:sz w:val="22"/>
          <w:szCs w:val="22"/>
        </w:rPr>
        <w:t>（1）本响应有效期为自提交响应文件的截止之日起</w:t>
      </w:r>
      <w:r>
        <w:rPr>
          <w:rFonts w:ascii="宋体" w:hAnsi="宋体"/>
          <w:sz w:val="22"/>
          <w:szCs w:val="22"/>
          <w:u w:val="single"/>
        </w:rPr>
        <w:t>90</w:t>
      </w:r>
      <w:r>
        <w:rPr>
          <w:rFonts w:ascii="宋体" w:hAnsi="宋体"/>
          <w:color w:val="000000"/>
          <w:sz w:val="22"/>
          <w:szCs w:val="22"/>
        </w:rPr>
        <w:t>个日历日。</w:t>
      </w:r>
    </w:p>
    <w:p>
      <w:pPr>
        <w:tabs>
          <w:tab w:val="left" w:pos="720"/>
          <w:tab w:val="left" w:pos="900"/>
        </w:tabs>
        <w:spacing w:line="360" w:lineRule="auto"/>
        <w:ind w:left="360" w:firstLine="66" w:firstLineChars="30"/>
        <w:rPr>
          <w:rFonts w:ascii="宋体" w:hAnsi="宋体"/>
          <w:color w:val="000000"/>
          <w:sz w:val="22"/>
          <w:szCs w:val="22"/>
        </w:rPr>
      </w:pPr>
      <w:r>
        <w:rPr>
          <w:rFonts w:ascii="宋体" w:hAnsi="宋体"/>
          <w:color w:val="000000"/>
          <w:sz w:val="22"/>
          <w:szCs w:val="22"/>
        </w:rPr>
        <w:t>（2）除合同条款及采购需求偏离表列出的偏离外，我方响应</w:t>
      </w:r>
      <w:r>
        <w:rPr>
          <w:rFonts w:hint="eastAsia" w:ascii="宋体" w:hAnsi="宋体"/>
          <w:color w:val="000000"/>
          <w:sz w:val="22"/>
          <w:szCs w:val="22"/>
          <w:lang w:val="en-US" w:eastAsia="zh-CN"/>
        </w:rPr>
        <w:t>遴选</w:t>
      </w:r>
      <w:r>
        <w:rPr>
          <w:rFonts w:ascii="宋体" w:hAnsi="宋体"/>
          <w:color w:val="000000"/>
          <w:sz w:val="22"/>
          <w:szCs w:val="22"/>
        </w:rPr>
        <w:t>文件的全部要求。</w:t>
      </w:r>
    </w:p>
    <w:p>
      <w:pPr>
        <w:tabs>
          <w:tab w:val="left" w:pos="5580"/>
        </w:tabs>
        <w:spacing w:line="360" w:lineRule="auto"/>
        <w:ind w:firstLine="385" w:firstLineChars="175"/>
        <w:rPr>
          <w:rFonts w:ascii="宋体" w:hAnsi="宋体"/>
          <w:color w:val="000000"/>
          <w:sz w:val="22"/>
          <w:szCs w:val="22"/>
        </w:rPr>
      </w:pPr>
      <w:r>
        <w:rPr>
          <w:rFonts w:ascii="宋体" w:hAnsi="宋体"/>
          <w:color w:val="000000"/>
          <w:sz w:val="22"/>
          <w:szCs w:val="22"/>
        </w:rPr>
        <w:t>（3）我方已提供的全部文件资料是真实、准确的，并对此承担一切法律后果。</w:t>
      </w:r>
    </w:p>
    <w:p>
      <w:pPr>
        <w:tabs>
          <w:tab w:val="left" w:pos="5580"/>
        </w:tabs>
        <w:spacing w:line="360" w:lineRule="auto"/>
        <w:ind w:firstLine="385" w:firstLineChars="175"/>
        <w:rPr>
          <w:rFonts w:ascii="宋体" w:hAnsi="宋体"/>
          <w:color w:val="000000"/>
          <w:sz w:val="22"/>
          <w:szCs w:val="22"/>
        </w:rPr>
      </w:pPr>
      <w:r>
        <w:rPr>
          <w:rFonts w:ascii="宋体" w:hAnsi="宋体"/>
          <w:color w:val="000000"/>
          <w:sz w:val="22"/>
          <w:szCs w:val="22"/>
        </w:rPr>
        <w:t>（4）如我方成交，我方将在法律规定的期限内与你方签订合同，并在合同约定的期限内完成合同规定的全部义务。</w:t>
      </w:r>
    </w:p>
    <w:p>
      <w:pPr>
        <w:tabs>
          <w:tab w:val="left" w:pos="5580"/>
        </w:tabs>
        <w:spacing w:line="360" w:lineRule="auto"/>
        <w:ind w:left="420"/>
        <w:rPr>
          <w:rFonts w:ascii="宋体" w:hAnsi="宋体"/>
          <w:color w:val="000000"/>
          <w:sz w:val="22"/>
          <w:szCs w:val="22"/>
        </w:rPr>
      </w:pPr>
    </w:p>
    <w:p>
      <w:pPr>
        <w:pStyle w:val="18"/>
        <w:rPr>
          <w:rFonts w:ascii="宋体" w:hAnsi="宋体"/>
          <w:color w:val="000000"/>
          <w:sz w:val="22"/>
          <w:szCs w:val="22"/>
        </w:rPr>
      </w:pPr>
    </w:p>
    <w:p>
      <w:pPr>
        <w:pStyle w:val="18"/>
        <w:rPr>
          <w:rFonts w:ascii="宋体" w:hAnsi="宋体"/>
          <w:color w:val="000000"/>
          <w:sz w:val="22"/>
          <w:szCs w:val="22"/>
        </w:rPr>
      </w:pPr>
    </w:p>
    <w:p>
      <w:pPr>
        <w:pStyle w:val="18"/>
        <w:rPr>
          <w:rFonts w:ascii="宋体" w:hAnsi="宋体"/>
          <w:color w:val="000000"/>
          <w:sz w:val="22"/>
          <w:szCs w:val="22"/>
        </w:rPr>
      </w:pPr>
    </w:p>
    <w:p>
      <w:pPr>
        <w:tabs>
          <w:tab w:val="left" w:pos="5580"/>
        </w:tabs>
        <w:spacing w:line="360" w:lineRule="auto"/>
        <w:ind w:left="420"/>
        <w:rPr>
          <w:rFonts w:ascii="宋体" w:hAnsi="宋体"/>
          <w:color w:val="000000"/>
          <w:sz w:val="22"/>
          <w:szCs w:val="22"/>
        </w:rPr>
      </w:pPr>
      <w:r>
        <w:rPr>
          <w:rFonts w:ascii="宋体" w:hAnsi="宋体"/>
          <w:color w:val="000000"/>
          <w:sz w:val="22"/>
          <w:szCs w:val="22"/>
        </w:rPr>
        <w:t>地址</w:t>
      </w:r>
      <w:r>
        <w:rPr>
          <w:rFonts w:ascii="宋体" w:hAnsi="宋体"/>
          <w:bCs/>
          <w:color w:val="000000"/>
          <w:sz w:val="22"/>
          <w:szCs w:val="22"/>
        </w:rPr>
        <w:t>_________________________</w:t>
      </w:r>
      <w:r>
        <w:rPr>
          <w:rFonts w:ascii="宋体" w:hAnsi="宋体"/>
          <w:color w:val="000000"/>
          <w:sz w:val="22"/>
          <w:szCs w:val="22"/>
        </w:rPr>
        <w:t xml:space="preserve">     </w:t>
      </w:r>
    </w:p>
    <w:p>
      <w:pPr>
        <w:tabs>
          <w:tab w:val="left" w:pos="5580"/>
        </w:tabs>
        <w:spacing w:line="360" w:lineRule="auto"/>
        <w:ind w:left="420"/>
        <w:rPr>
          <w:rFonts w:ascii="宋体" w:hAnsi="宋体"/>
          <w:color w:val="000000"/>
          <w:sz w:val="22"/>
          <w:szCs w:val="22"/>
        </w:rPr>
      </w:pPr>
      <w:r>
        <w:rPr>
          <w:rFonts w:ascii="宋体" w:hAnsi="宋体"/>
          <w:color w:val="000000"/>
          <w:sz w:val="22"/>
          <w:szCs w:val="22"/>
        </w:rPr>
        <w:t>电话</w:t>
      </w:r>
      <w:r>
        <w:rPr>
          <w:rFonts w:ascii="宋体" w:hAnsi="宋体"/>
          <w:bCs/>
          <w:color w:val="000000"/>
          <w:sz w:val="22"/>
          <w:szCs w:val="22"/>
        </w:rPr>
        <w:t>_________________________</w:t>
      </w:r>
    </w:p>
    <w:p>
      <w:pPr>
        <w:tabs>
          <w:tab w:val="left" w:pos="5580"/>
        </w:tabs>
        <w:spacing w:line="360" w:lineRule="auto"/>
        <w:ind w:left="420"/>
        <w:rPr>
          <w:rFonts w:ascii="宋体" w:hAnsi="宋体"/>
          <w:color w:val="000000"/>
          <w:sz w:val="22"/>
          <w:szCs w:val="22"/>
        </w:rPr>
      </w:pPr>
    </w:p>
    <w:p>
      <w:pPr>
        <w:tabs>
          <w:tab w:val="left" w:pos="5580"/>
        </w:tabs>
        <w:spacing w:line="360" w:lineRule="auto"/>
        <w:ind w:left="420"/>
        <w:rPr>
          <w:rFonts w:ascii="宋体" w:hAnsi="宋体"/>
          <w:color w:val="000000"/>
          <w:sz w:val="22"/>
          <w:szCs w:val="22"/>
        </w:rPr>
      </w:pPr>
    </w:p>
    <w:p>
      <w:pPr>
        <w:pStyle w:val="16"/>
        <w:rPr>
          <w:rFonts w:ascii="宋体" w:hAnsi="宋体"/>
          <w:color w:val="000000"/>
          <w:sz w:val="22"/>
          <w:szCs w:val="22"/>
        </w:rPr>
      </w:pPr>
    </w:p>
    <w:p>
      <w:pPr>
        <w:pStyle w:val="16"/>
        <w:rPr>
          <w:rFonts w:ascii="宋体" w:hAnsi="宋体"/>
          <w:color w:val="000000"/>
          <w:sz w:val="22"/>
          <w:szCs w:val="22"/>
        </w:rPr>
      </w:pPr>
    </w:p>
    <w:p>
      <w:pPr>
        <w:pStyle w:val="16"/>
        <w:rPr>
          <w:rFonts w:ascii="宋体" w:hAnsi="宋体"/>
          <w:color w:val="000000"/>
          <w:sz w:val="22"/>
          <w:szCs w:val="22"/>
        </w:rPr>
      </w:pPr>
    </w:p>
    <w:p>
      <w:pPr>
        <w:pStyle w:val="16"/>
        <w:rPr>
          <w:rFonts w:ascii="宋体" w:hAnsi="宋体"/>
          <w:color w:val="000000"/>
          <w:sz w:val="22"/>
          <w:szCs w:val="22"/>
        </w:rPr>
      </w:pPr>
    </w:p>
    <w:p>
      <w:pPr>
        <w:tabs>
          <w:tab w:val="left" w:pos="5580"/>
        </w:tabs>
        <w:spacing w:line="360" w:lineRule="auto"/>
        <w:ind w:left="420"/>
        <w:rPr>
          <w:rFonts w:ascii="宋体" w:hAnsi="宋体"/>
          <w:color w:val="000000"/>
          <w:sz w:val="24"/>
          <w:szCs w:val="20"/>
        </w:rPr>
      </w:pPr>
    </w:p>
    <w:p>
      <w:pPr>
        <w:spacing w:line="360" w:lineRule="auto"/>
        <w:ind w:firstLine="440" w:firstLineChars="200"/>
        <w:rPr>
          <w:sz w:val="22"/>
          <w:u w:val="single"/>
        </w:rPr>
      </w:pPr>
      <w:r>
        <w:rPr>
          <w:rFonts w:hint="eastAsia"/>
          <w:sz w:val="22"/>
        </w:rPr>
        <w:t>供应商法定代表人或授权代表（签字）：</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p>
    <w:p>
      <w:pPr>
        <w:spacing w:line="360" w:lineRule="auto"/>
        <w:ind w:firstLine="440" w:firstLineChars="2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ind w:firstLine="440" w:firstLineChars="200"/>
        <w:rPr>
          <w:sz w:val="22"/>
          <w:u w:val="single"/>
        </w:rPr>
      </w:pPr>
      <w:r>
        <w:rPr>
          <w:rFonts w:hint="eastAsia"/>
          <w:sz w:val="22"/>
        </w:rPr>
        <w:t xml:space="preserve">日期： </w:t>
      </w:r>
      <w:r>
        <w:rPr>
          <w:sz w:val="22"/>
          <w:u w:val="single"/>
        </w:rPr>
        <w:t xml:space="preserve">                   </w:t>
      </w:r>
    </w:p>
    <w:p>
      <w:pPr>
        <w:tabs>
          <w:tab w:val="left" w:pos="5580"/>
        </w:tabs>
        <w:spacing w:line="360" w:lineRule="auto"/>
        <w:ind w:left="420"/>
        <w:jc w:val="left"/>
        <w:rPr>
          <w:rFonts w:ascii="宋体" w:hAnsi="宋体"/>
          <w:color w:val="000000"/>
          <w:sz w:val="24"/>
          <w:szCs w:val="20"/>
        </w:rPr>
      </w:pPr>
    </w:p>
    <w:p>
      <w:pPr>
        <w:pStyle w:val="57"/>
        <w:snapToGrid w:val="0"/>
        <w:spacing w:after="240" w:afterLines="100" w:line="360" w:lineRule="auto"/>
        <w:outlineLvl w:val="9"/>
        <w:rPr>
          <w:sz w:val="22"/>
          <w:szCs w:val="22"/>
        </w:rPr>
      </w:pPr>
    </w:p>
    <w:p>
      <w:pPr>
        <w:pStyle w:val="57"/>
        <w:snapToGrid w:val="0"/>
        <w:spacing w:after="240" w:afterLines="100" w:line="360" w:lineRule="auto"/>
        <w:outlineLvl w:val="9"/>
        <w:rPr>
          <w:rFonts w:hint="eastAsia"/>
          <w:sz w:val="22"/>
          <w:szCs w:val="22"/>
        </w:rPr>
      </w:pPr>
    </w:p>
    <w:bookmarkEnd w:id="51"/>
    <w:bookmarkEnd w:id="52"/>
    <w:bookmarkEnd w:id="53"/>
    <w:bookmarkEnd w:id="54"/>
    <w:bookmarkEnd w:id="55"/>
    <w:bookmarkEnd w:id="56"/>
    <w:bookmarkEnd w:id="57"/>
    <w:p>
      <w:pPr>
        <w:pStyle w:val="57"/>
        <w:snapToGrid w:val="0"/>
        <w:spacing w:after="240" w:afterLines="100" w:line="360" w:lineRule="auto"/>
        <w:outlineLvl w:val="9"/>
        <w:rPr>
          <w:sz w:val="22"/>
          <w:szCs w:val="22"/>
        </w:rPr>
      </w:pPr>
      <w:r>
        <w:rPr>
          <w:rFonts w:hint="eastAsia"/>
          <w:sz w:val="22"/>
          <w:szCs w:val="22"/>
        </w:rPr>
        <w:t>附件</w:t>
      </w:r>
      <w:r>
        <w:rPr>
          <w:rFonts w:hint="eastAsia"/>
          <w:sz w:val="22"/>
          <w:szCs w:val="22"/>
          <w:lang w:val="en-US" w:eastAsia="zh-CN"/>
        </w:rPr>
        <w:t>7</w:t>
      </w:r>
      <w:r>
        <w:rPr>
          <w:sz w:val="22"/>
          <w:szCs w:val="22"/>
        </w:rPr>
        <w:t xml:space="preserve"> </w:t>
      </w:r>
      <w:r>
        <w:rPr>
          <w:rFonts w:hint="eastAsia"/>
          <w:sz w:val="22"/>
          <w:szCs w:val="22"/>
        </w:rPr>
        <w:t>资格证明文件</w:t>
      </w:r>
    </w:p>
    <w:p>
      <w:pPr>
        <w:spacing w:line="360" w:lineRule="auto"/>
        <w:rPr>
          <w:sz w:val="22"/>
        </w:rPr>
      </w:pPr>
      <w:r>
        <w:rPr>
          <w:rFonts w:hint="eastAsia"/>
          <w:sz w:val="22"/>
        </w:rPr>
        <w:t>一、目录</w:t>
      </w:r>
    </w:p>
    <w:p>
      <w:pPr>
        <w:numPr>
          <w:ilvl w:val="0"/>
          <w:numId w:val="15"/>
        </w:numPr>
        <w:tabs>
          <w:tab w:val="left" w:pos="0"/>
        </w:tabs>
        <w:snapToGrid w:val="0"/>
        <w:spacing w:line="360" w:lineRule="auto"/>
        <w:rPr>
          <w:rFonts w:cs="Arial"/>
          <w:sz w:val="22"/>
        </w:rPr>
      </w:pPr>
      <w:r>
        <w:rPr>
          <w:rFonts w:hint="eastAsia"/>
          <w:sz w:val="22"/>
        </w:rPr>
        <w:t>有效的法人或者其他组织的营业执照等证明文件（复印件加盖单位公章）；</w:t>
      </w:r>
    </w:p>
    <w:p>
      <w:pPr>
        <w:numPr>
          <w:ilvl w:val="0"/>
          <w:numId w:val="15"/>
        </w:numPr>
        <w:tabs>
          <w:tab w:val="left" w:pos="318"/>
        </w:tabs>
        <w:snapToGrid w:val="0"/>
        <w:spacing w:line="360" w:lineRule="auto"/>
        <w:rPr>
          <w:sz w:val="22"/>
        </w:rPr>
      </w:pPr>
      <w:r>
        <w:rPr>
          <w:rFonts w:hint="eastAsia"/>
          <w:sz w:val="22"/>
        </w:rPr>
        <w:t>参加本次采购活动前三年内，在经营活动中没有重大违法记录的声明</w:t>
      </w:r>
      <w:r>
        <w:rPr>
          <w:rFonts w:hint="eastAsia" w:cs="Arial"/>
          <w:sz w:val="22"/>
        </w:rPr>
        <w:t>；</w:t>
      </w:r>
    </w:p>
    <w:p>
      <w:pPr>
        <w:numPr>
          <w:ilvl w:val="0"/>
          <w:numId w:val="15"/>
        </w:numPr>
        <w:tabs>
          <w:tab w:val="left" w:pos="318"/>
        </w:tabs>
        <w:snapToGrid w:val="0"/>
        <w:spacing w:line="360" w:lineRule="auto"/>
        <w:rPr>
          <w:sz w:val="22"/>
        </w:rPr>
      </w:pPr>
      <w:r>
        <w:rPr>
          <w:rFonts w:hint="eastAsia"/>
          <w:sz w:val="22"/>
        </w:rPr>
        <w:t>具有良好的商业信誉和健全的财务会计制度证明材料；</w:t>
      </w:r>
    </w:p>
    <w:p>
      <w:pPr>
        <w:numPr>
          <w:ilvl w:val="0"/>
          <w:numId w:val="15"/>
        </w:numPr>
        <w:tabs>
          <w:tab w:val="left" w:pos="318"/>
        </w:tabs>
        <w:snapToGrid w:val="0"/>
        <w:spacing w:line="360" w:lineRule="auto"/>
        <w:rPr>
          <w:sz w:val="22"/>
        </w:rPr>
      </w:pPr>
      <w:r>
        <w:rPr>
          <w:rFonts w:hint="eastAsia"/>
          <w:sz w:val="22"/>
        </w:rPr>
        <w:t>具有履行合同所必需的设备和专业技术能力</w:t>
      </w:r>
      <w:r>
        <w:rPr>
          <w:rFonts w:hint="eastAsia"/>
          <w:sz w:val="22"/>
          <w:lang w:val="en-US" w:eastAsia="zh-CN"/>
        </w:rPr>
        <w:t>承诺书</w:t>
      </w:r>
      <w:r>
        <w:rPr>
          <w:rFonts w:hint="eastAsia"/>
          <w:sz w:val="22"/>
        </w:rPr>
        <w:t>；</w:t>
      </w:r>
    </w:p>
    <w:p>
      <w:pPr>
        <w:numPr>
          <w:ilvl w:val="0"/>
          <w:numId w:val="15"/>
        </w:numPr>
        <w:tabs>
          <w:tab w:val="left" w:pos="318"/>
        </w:tabs>
        <w:snapToGrid w:val="0"/>
        <w:spacing w:line="360" w:lineRule="auto"/>
        <w:rPr>
          <w:rFonts w:hint="eastAsia"/>
          <w:sz w:val="22"/>
        </w:rPr>
      </w:pPr>
      <w:r>
        <w:rPr>
          <w:rFonts w:hint="eastAsia" w:asciiTheme="minorHAnsi" w:hAnsiTheme="minorHAnsi" w:cstheme="minorBidi"/>
          <w:sz w:val="22"/>
          <w:szCs w:val="22"/>
        </w:rPr>
        <w:t>单位负责人为同一人或者存在直接控股、管理关系的不同供应商，不得同时参加本项目同一包的遴选</w:t>
      </w:r>
      <w:r>
        <w:rPr>
          <w:rFonts w:hint="eastAsia" w:asciiTheme="minorHAnsi" w:hAnsiTheme="minorHAnsi" w:cstheme="minorBidi"/>
          <w:sz w:val="22"/>
          <w:szCs w:val="22"/>
          <w:lang w:val="en-US" w:eastAsia="zh-CN"/>
        </w:rPr>
        <w:t>承诺书</w:t>
      </w:r>
      <w:r>
        <w:rPr>
          <w:rFonts w:hint="eastAsia" w:asciiTheme="minorHAnsi" w:hAnsiTheme="minorHAnsi" w:cstheme="minorBidi"/>
          <w:sz w:val="22"/>
          <w:szCs w:val="22"/>
        </w:rPr>
        <w:t>；</w:t>
      </w:r>
    </w:p>
    <w:p>
      <w:pPr>
        <w:numPr>
          <w:ilvl w:val="0"/>
          <w:numId w:val="15"/>
        </w:numPr>
        <w:tabs>
          <w:tab w:val="left" w:pos="318"/>
        </w:tabs>
        <w:snapToGrid w:val="0"/>
        <w:spacing w:line="360" w:lineRule="auto"/>
      </w:pPr>
      <w:r>
        <w:rPr>
          <w:rFonts w:hint="eastAsia"/>
          <w:sz w:val="22"/>
        </w:rPr>
        <w:t>提供社会保障资金缴纳记录（近6个月内任意1个月的有效票据凭证）、依法缴纳税收的证明材料（近6个月内任意1个月依法缴纳税收的记录），包括被委托人的近6个月在该公司的社会保障资金缴纳记录；</w:t>
      </w:r>
    </w:p>
    <w:p>
      <w:pPr>
        <w:numPr>
          <w:ilvl w:val="0"/>
          <w:numId w:val="15"/>
        </w:numPr>
        <w:tabs>
          <w:tab w:val="left" w:pos="318"/>
        </w:tabs>
        <w:snapToGrid w:val="0"/>
        <w:spacing w:line="360" w:lineRule="auto"/>
        <w:rPr>
          <w:sz w:val="22"/>
        </w:rPr>
      </w:pPr>
      <w:r>
        <w:rPr>
          <w:rFonts w:hint="eastAsia"/>
          <w:sz w:val="22"/>
        </w:rPr>
        <w:t>中小企业声明函</w:t>
      </w:r>
    </w:p>
    <w:p>
      <w:pPr>
        <w:numPr>
          <w:ilvl w:val="0"/>
          <w:numId w:val="15"/>
        </w:numPr>
        <w:tabs>
          <w:tab w:val="left" w:pos="318"/>
        </w:tabs>
        <w:spacing w:line="360" w:lineRule="auto"/>
        <w:rPr>
          <w:rFonts w:hint="eastAsia"/>
          <w:sz w:val="22"/>
        </w:rPr>
      </w:pPr>
      <w:r>
        <w:rPr>
          <w:rFonts w:hint="eastAsia"/>
          <w:sz w:val="22"/>
          <w:lang w:val="en-US" w:eastAsia="zh-CN"/>
        </w:rPr>
        <w:t>非</w:t>
      </w:r>
      <w:r>
        <w:rPr>
          <w:rFonts w:hint="eastAsia"/>
          <w:sz w:val="22"/>
        </w:rPr>
        <w:t>联合体进行本项目遴选</w:t>
      </w:r>
      <w:r>
        <w:rPr>
          <w:rFonts w:hint="eastAsia"/>
          <w:sz w:val="22"/>
          <w:lang w:val="en-US" w:eastAsia="zh-CN"/>
        </w:rPr>
        <w:t>承诺书</w:t>
      </w:r>
      <w:r>
        <w:rPr>
          <w:rFonts w:hint="eastAsia"/>
          <w:sz w:val="22"/>
        </w:rPr>
        <w:t>--格式自拟</w:t>
      </w:r>
    </w:p>
    <w:p>
      <w:pPr>
        <w:numPr>
          <w:ilvl w:val="-1"/>
          <w:numId w:val="0"/>
        </w:numPr>
        <w:tabs>
          <w:tab w:val="left" w:pos="318"/>
        </w:tabs>
        <w:snapToGrid w:val="0"/>
        <w:spacing w:line="360" w:lineRule="auto"/>
        <w:ind w:left="0" w:firstLine="0"/>
        <w:rPr>
          <w:sz w:val="22"/>
        </w:rPr>
      </w:pPr>
      <w:r>
        <w:rPr>
          <w:rFonts w:hint="eastAsia"/>
          <w:sz w:val="22"/>
          <w:lang w:val="en-US" w:eastAsia="zh-CN"/>
        </w:rPr>
        <w:t>9、</w:t>
      </w:r>
      <w:r>
        <w:rPr>
          <w:rFonts w:hint="eastAsia"/>
          <w:sz w:val="22"/>
        </w:rPr>
        <w:t>服务方案---格式自拟</w:t>
      </w:r>
      <w:r>
        <w:rPr>
          <w:rFonts w:hint="eastAsia"/>
          <w:sz w:val="22"/>
          <w:lang w:val="zh-CN"/>
        </w:rPr>
        <w:t>；</w:t>
      </w:r>
    </w:p>
    <w:p>
      <w:pPr>
        <w:numPr>
          <w:ilvl w:val="-1"/>
          <w:numId w:val="0"/>
        </w:numPr>
        <w:tabs>
          <w:tab w:val="left" w:pos="318"/>
        </w:tabs>
        <w:snapToGrid w:val="0"/>
        <w:spacing w:line="360" w:lineRule="auto"/>
        <w:ind w:left="0" w:firstLine="0"/>
        <w:rPr>
          <w:sz w:val="22"/>
        </w:rPr>
      </w:pPr>
      <w:r>
        <w:rPr>
          <w:rFonts w:hint="eastAsia"/>
          <w:sz w:val="22"/>
          <w:lang w:val="en-US" w:eastAsia="zh-CN"/>
        </w:rPr>
        <w:t>10、</w:t>
      </w:r>
      <w:r>
        <w:rPr>
          <w:rFonts w:hint="eastAsia"/>
          <w:sz w:val="22"/>
        </w:rPr>
        <w:t>供应商认为需要提供的其他证明材料。</w:t>
      </w:r>
    </w:p>
    <w:p>
      <w:pPr>
        <w:spacing w:line="360" w:lineRule="auto"/>
        <w:rPr>
          <w:sz w:val="22"/>
        </w:rPr>
      </w:pPr>
      <w:r>
        <w:rPr>
          <w:rFonts w:hint="eastAsia"/>
          <w:sz w:val="22"/>
        </w:rPr>
        <w:t>二、填写须知</w:t>
      </w:r>
    </w:p>
    <w:p>
      <w:pPr>
        <w:numPr>
          <w:ilvl w:val="0"/>
          <w:numId w:val="16"/>
        </w:numPr>
        <w:spacing w:line="300" w:lineRule="auto"/>
        <w:rPr>
          <w:sz w:val="22"/>
        </w:rPr>
      </w:pPr>
      <w:r>
        <w:rPr>
          <w:rFonts w:hint="eastAsia"/>
          <w:sz w:val="22"/>
        </w:rPr>
        <w:t>以上所列资格证明文件未提供格式的，由供应商提供。</w:t>
      </w:r>
    </w:p>
    <w:p>
      <w:pPr>
        <w:numPr>
          <w:ilvl w:val="0"/>
          <w:numId w:val="16"/>
        </w:numPr>
        <w:spacing w:line="300" w:lineRule="auto"/>
        <w:rPr>
          <w:sz w:val="22"/>
        </w:rPr>
      </w:pPr>
      <w:r>
        <w:rPr>
          <w:rFonts w:hint="eastAsia"/>
          <w:sz w:val="22"/>
        </w:rPr>
        <w:t>所附格式中要求填写的全部问题和信息都必须填写。</w:t>
      </w:r>
    </w:p>
    <w:p>
      <w:pPr>
        <w:numPr>
          <w:ilvl w:val="0"/>
          <w:numId w:val="16"/>
        </w:numPr>
        <w:spacing w:line="300" w:lineRule="auto"/>
        <w:rPr>
          <w:sz w:val="22"/>
        </w:rPr>
      </w:pPr>
      <w:r>
        <w:rPr>
          <w:rFonts w:hint="eastAsia"/>
          <w:sz w:val="22"/>
        </w:rPr>
        <w:t>本资格声明的签字人应保证全部声明和填写的内容是真实的和正确的。</w:t>
      </w:r>
    </w:p>
    <w:p>
      <w:pPr>
        <w:numPr>
          <w:ilvl w:val="0"/>
          <w:numId w:val="16"/>
        </w:numPr>
        <w:spacing w:line="300" w:lineRule="auto"/>
        <w:rPr>
          <w:rFonts w:hint="eastAsia"/>
          <w:sz w:val="22"/>
        </w:rPr>
      </w:pPr>
      <w:r>
        <w:rPr>
          <w:rFonts w:hint="eastAsia"/>
          <w:sz w:val="22"/>
        </w:rPr>
        <w:t>遴选方将应用供应商提交的资料根据自己的判断和考虑决定供应商履行合同的合格性及能力。</w:t>
      </w:r>
    </w:p>
    <w:p>
      <w:pPr>
        <w:numPr>
          <w:ilvl w:val="0"/>
          <w:numId w:val="16"/>
        </w:numPr>
        <w:spacing w:line="300" w:lineRule="auto"/>
        <w:rPr>
          <w:rFonts w:hint="eastAsia"/>
          <w:sz w:val="22"/>
        </w:rPr>
      </w:pPr>
      <w:r>
        <w:rPr>
          <w:rFonts w:hint="eastAsia"/>
          <w:sz w:val="22"/>
        </w:rPr>
        <w:t>供应商提交的材料将被保密，但不退还。</w:t>
      </w:r>
    </w:p>
    <w:p>
      <w:pPr>
        <w:numPr>
          <w:ilvl w:val="0"/>
          <w:numId w:val="16"/>
        </w:numPr>
        <w:spacing w:line="300" w:lineRule="auto"/>
        <w:rPr>
          <w:rFonts w:hint="eastAsia"/>
          <w:sz w:val="22"/>
        </w:rPr>
      </w:pPr>
      <w:r>
        <w:rPr>
          <w:rFonts w:hint="eastAsia"/>
          <w:sz w:val="22"/>
        </w:rPr>
        <w:t>全部文件应按“遴选前附表”规定的份数提交。</w:t>
      </w:r>
    </w:p>
    <w:p>
      <w:pPr>
        <w:pStyle w:val="18"/>
      </w:pPr>
    </w:p>
    <w:p>
      <w:pPr>
        <w:pStyle w:val="18"/>
        <w:rPr>
          <w:rFonts w:hint="eastAsia"/>
          <w:sz w:val="22"/>
        </w:rPr>
      </w:pPr>
    </w:p>
    <w:p>
      <w:pPr>
        <w:pStyle w:val="18"/>
        <w:rPr>
          <w:rFonts w:hint="eastAsia"/>
          <w:sz w:val="22"/>
        </w:rPr>
      </w:pPr>
    </w:p>
    <w:p>
      <w:pPr>
        <w:rPr>
          <w:sz w:val="22"/>
        </w:rPr>
      </w:pPr>
    </w:p>
    <w:p>
      <w:pPr>
        <w:pStyle w:val="57"/>
        <w:snapToGrid w:val="0"/>
        <w:spacing w:after="240" w:afterLines="100" w:line="360" w:lineRule="auto"/>
        <w:jc w:val="both"/>
        <w:rPr>
          <w:b w:val="0"/>
          <w:color w:val="FF0000"/>
          <w:sz w:val="22"/>
          <w:szCs w:val="22"/>
        </w:rPr>
      </w:pPr>
    </w:p>
    <w:p>
      <w:pPr>
        <w:pStyle w:val="57"/>
        <w:snapToGrid w:val="0"/>
        <w:spacing w:after="240" w:afterLines="100" w:line="360" w:lineRule="auto"/>
        <w:jc w:val="both"/>
        <w:rPr>
          <w:b w:val="0"/>
          <w:color w:val="FF0000"/>
          <w:sz w:val="22"/>
          <w:szCs w:val="22"/>
        </w:rPr>
      </w:pPr>
    </w:p>
    <w:p>
      <w:pPr>
        <w:pStyle w:val="57"/>
        <w:snapToGrid w:val="0"/>
        <w:spacing w:after="240" w:afterLines="100" w:line="360" w:lineRule="auto"/>
        <w:jc w:val="both"/>
        <w:rPr>
          <w:b w:val="0"/>
          <w:color w:val="FF0000"/>
          <w:sz w:val="22"/>
          <w:szCs w:val="22"/>
        </w:rPr>
      </w:pPr>
    </w:p>
    <w:p>
      <w:pPr>
        <w:pStyle w:val="57"/>
        <w:snapToGrid w:val="0"/>
        <w:spacing w:after="240" w:afterLines="100" w:line="360" w:lineRule="auto"/>
        <w:jc w:val="both"/>
        <w:rPr>
          <w:b w:val="0"/>
          <w:color w:val="FF0000"/>
          <w:sz w:val="22"/>
          <w:szCs w:val="22"/>
        </w:rPr>
      </w:pPr>
    </w:p>
    <w:p>
      <w:pPr>
        <w:pStyle w:val="57"/>
        <w:snapToGrid w:val="0"/>
        <w:spacing w:after="240" w:afterLines="100" w:line="360" w:lineRule="auto"/>
        <w:jc w:val="both"/>
        <w:rPr>
          <w:rFonts w:hint="eastAsia" w:eastAsia="宋体"/>
          <w:b w:val="0"/>
          <w:color w:val="FF0000"/>
          <w:sz w:val="22"/>
          <w:szCs w:val="22"/>
          <w:lang w:eastAsia="zh-CN"/>
        </w:rPr>
      </w:pPr>
    </w:p>
    <w:p>
      <w:pPr>
        <w:rPr>
          <w:b/>
          <w:color w:val="000000"/>
          <w:sz w:val="22"/>
        </w:rPr>
      </w:pPr>
      <w:r>
        <w:rPr>
          <w:rFonts w:hint="eastAsia"/>
          <w:b/>
          <w:sz w:val="22"/>
        </w:rPr>
        <w:t>2、参加本次采购活动前三年内，在经营活动中没有重大违法记录的声明</w:t>
      </w:r>
    </w:p>
    <w:p>
      <w:pPr>
        <w:rPr>
          <w:color w:val="000000"/>
          <w:sz w:val="22"/>
        </w:rPr>
      </w:pPr>
    </w:p>
    <w:p>
      <w:pPr>
        <w:rPr>
          <w:color w:val="000000"/>
          <w:sz w:val="22"/>
        </w:rPr>
      </w:pPr>
    </w:p>
    <w:p>
      <w:pPr>
        <w:rPr>
          <w:color w:val="000000"/>
          <w:sz w:val="22"/>
        </w:rPr>
      </w:pPr>
      <w:r>
        <w:rPr>
          <w:rFonts w:hint="eastAsia"/>
          <w:color w:val="000000"/>
          <w:sz w:val="22"/>
        </w:rPr>
        <w:t>北京按摩医院：</w:t>
      </w:r>
    </w:p>
    <w:p>
      <w:pPr>
        <w:rPr>
          <w:color w:val="000000"/>
          <w:sz w:val="22"/>
        </w:rPr>
      </w:pPr>
    </w:p>
    <w:p>
      <w:pPr>
        <w:spacing w:line="360" w:lineRule="auto"/>
        <w:ind w:firstLine="440" w:firstLineChars="200"/>
        <w:rPr>
          <w:color w:val="000000"/>
          <w:sz w:val="22"/>
        </w:rPr>
      </w:pPr>
      <w:r>
        <w:rPr>
          <w:rFonts w:hint="eastAsia"/>
          <w:color w:val="000000"/>
          <w:sz w:val="22"/>
        </w:rPr>
        <w:t>我公司在参加本次采购活动前三年内，在经营活动中没有重大违法记录（</w:t>
      </w:r>
      <w:r>
        <w:rPr>
          <w:rFonts w:hint="eastAsia"/>
          <w:color w:val="000000"/>
          <w:kern w:val="0"/>
          <w:sz w:val="22"/>
        </w:rPr>
        <w:t>因违法经营受到刑事处罚或者责令停产停业、吊销许可证或者执照、较大数额罚款等行政处罚</w:t>
      </w:r>
      <w:r>
        <w:rPr>
          <w:rFonts w:hint="eastAsia"/>
          <w:color w:val="000000"/>
          <w:sz w:val="22"/>
        </w:rPr>
        <w:t>）。</w:t>
      </w:r>
    </w:p>
    <w:p>
      <w:pPr>
        <w:rPr>
          <w:color w:val="000000"/>
          <w:sz w:val="22"/>
        </w:rPr>
      </w:pPr>
    </w:p>
    <w:p>
      <w:pPr>
        <w:ind w:firstLine="440" w:firstLineChars="200"/>
        <w:rPr>
          <w:color w:val="000000"/>
          <w:sz w:val="22"/>
        </w:rPr>
      </w:pPr>
      <w:r>
        <w:rPr>
          <w:rFonts w:hint="eastAsia"/>
          <w:color w:val="000000"/>
          <w:sz w:val="22"/>
        </w:rPr>
        <w:t>特此声明。</w:t>
      </w: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spacing w:line="360" w:lineRule="auto"/>
        <w:rPr>
          <w:color w:val="000000"/>
          <w:sz w:val="22"/>
          <w:u w:val="single"/>
        </w:rPr>
      </w:pPr>
      <w:r>
        <w:rPr>
          <w:rFonts w:hint="eastAsia"/>
          <w:sz w:val="22"/>
        </w:rPr>
        <w:t>供应商授权代表签字</w:t>
      </w:r>
      <w:r>
        <w:rPr>
          <w:rFonts w:hint="eastAsia"/>
          <w:color w:val="000000"/>
          <w:sz w:val="22"/>
        </w:rPr>
        <w:t>：</w:t>
      </w:r>
      <w:r>
        <w:rPr>
          <w:rFonts w:hint="eastAsia"/>
          <w:color w:val="000000"/>
          <w:sz w:val="22"/>
          <w:u w:val="single"/>
        </w:rPr>
        <w:t xml:space="preserve">                        </w:t>
      </w:r>
    </w:p>
    <w:p>
      <w:pPr>
        <w:spacing w:line="360" w:lineRule="auto"/>
        <w:rPr>
          <w:color w:val="000000"/>
          <w:sz w:val="22"/>
        </w:rPr>
      </w:pPr>
      <w:r>
        <w:rPr>
          <w:rFonts w:hint="eastAsia"/>
          <w:color w:val="000000"/>
          <w:sz w:val="22"/>
        </w:rPr>
        <w:t xml:space="preserve">                              </w:t>
      </w:r>
    </w:p>
    <w:p>
      <w:pPr>
        <w:spacing w:line="360" w:lineRule="auto"/>
        <w:rPr>
          <w:color w:val="000000"/>
          <w:sz w:val="22"/>
        </w:rPr>
      </w:pPr>
      <w:r>
        <w:rPr>
          <w:rFonts w:hint="eastAsia"/>
          <w:color w:val="000000"/>
          <w:sz w:val="22"/>
        </w:rPr>
        <w:t>供应商名称（加盖单位公章）：</w:t>
      </w:r>
      <w:r>
        <w:rPr>
          <w:rFonts w:hint="eastAsia"/>
          <w:color w:val="000000"/>
          <w:sz w:val="22"/>
          <w:u w:val="single"/>
        </w:rPr>
        <w:t xml:space="preserve">                         </w:t>
      </w:r>
    </w:p>
    <w:p>
      <w:pPr>
        <w:snapToGrid w:val="0"/>
        <w:spacing w:line="360" w:lineRule="auto"/>
        <w:rPr>
          <w:rFonts w:hint="eastAsia"/>
          <w:sz w:val="22"/>
        </w:rPr>
      </w:pPr>
    </w:p>
    <w:p>
      <w:pPr>
        <w:snapToGrid w:val="0"/>
        <w:spacing w:line="360" w:lineRule="auto"/>
        <w:rPr>
          <w:sz w:val="22"/>
          <w:u w:val="single"/>
        </w:rPr>
      </w:pPr>
      <w:r>
        <w:rPr>
          <w:rFonts w:hint="eastAsia"/>
          <w:sz w:val="22"/>
        </w:rPr>
        <w:t xml:space="preserve">日期： </w:t>
      </w:r>
      <w:r>
        <w:rPr>
          <w:sz w:val="22"/>
          <w:u w:val="single"/>
        </w:rPr>
        <w:t xml:space="preserve">                   </w:t>
      </w:r>
    </w:p>
    <w:p>
      <w:pPr>
        <w:pStyle w:val="57"/>
        <w:snapToGrid w:val="0"/>
        <w:spacing w:after="240" w:afterLines="100" w:line="360" w:lineRule="auto"/>
        <w:ind w:firstLine="482"/>
        <w:rPr>
          <w:b w:val="0"/>
          <w:sz w:val="22"/>
          <w:szCs w:val="22"/>
        </w:rPr>
      </w:pPr>
    </w:p>
    <w:p>
      <w:pPr>
        <w:pStyle w:val="57"/>
        <w:snapToGrid w:val="0"/>
        <w:spacing w:after="240" w:afterLines="100" w:line="360" w:lineRule="auto"/>
        <w:ind w:firstLine="480"/>
        <w:jc w:val="both"/>
        <w:rPr>
          <w:b w:val="0"/>
          <w:bCs w:val="0"/>
          <w:color w:val="000000"/>
          <w:kern w:val="0"/>
          <w:sz w:val="22"/>
          <w:szCs w:val="22"/>
        </w:rPr>
      </w:pPr>
    </w:p>
    <w:p>
      <w:pPr>
        <w:pStyle w:val="57"/>
        <w:snapToGrid w:val="0"/>
        <w:spacing w:after="240" w:afterLines="100" w:line="360" w:lineRule="auto"/>
        <w:jc w:val="both"/>
        <w:rPr>
          <w:b w:val="0"/>
          <w:sz w:val="22"/>
          <w:szCs w:val="22"/>
        </w:rPr>
      </w:pPr>
    </w:p>
    <w:p>
      <w:pPr>
        <w:pStyle w:val="57"/>
        <w:snapToGrid w:val="0"/>
        <w:spacing w:after="240" w:afterLines="100" w:line="360" w:lineRule="auto"/>
        <w:ind w:firstLine="482"/>
        <w:rPr>
          <w:b w:val="0"/>
          <w:sz w:val="22"/>
          <w:szCs w:val="22"/>
        </w:rPr>
      </w:pPr>
    </w:p>
    <w:p>
      <w:pPr>
        <w:widowControl/>
        <w:spacing w:line="360" w:lineRule="auto"/>
        <w:jc w:val="center"/>
        <w:rPr>
          <w:rFonts w:ascii="宋体" w:hAnsi="宋体"/>
          <w:b/>
          <w:bCs/>
          <w:color w:val="000000"/>
          <w:sz w:val="36"/>
          <w:szCs w:val="36"/>
        </w:rPr>
      </w:pPr>
    </w:p>
    <w:p>
      <w:pPr>
        <w:widowControl/>
        <w:spacing w:line="360" w:lineRule="auto"/>
        <w:jc w:val="center"/>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rPr>
          <w:rFonts w:hint="eastAsia"/>
          <w:b/>
          <w:sz w:val="22"/>
          <w:lang w:val="en-US" w:eastAsia="zh-CN"/>
        </w:rPr>
      </w:pPr>
    </w:p>
    <w:p>
      <w:pPr>
        <w:rPr>
          <w:b/>
          <w:sz w:val="22"/>
        </w:rPr>
      </w:pPr>
      <w:r>
        <w:rPr>
          <w:rFonts w:hint="eastAsia"/>
          <w:b/>
          <w:sz w:val="22"/>
        </w:rPr>
        <w:t>3、具有良好的商业信誉和健全的财务会计制度证明材料</w:t>
      </w:r>
    </w:p>
    <w:p>
      <w:pPr>
        <w:tabs>
          <w:tab w:val="left" w:pos="5580"/>
        </w:tabs>
        <w:spacing w:line="240" w:lineRule="atLeast"/>
        <w:ind w:left="1080" w:leftChars="257" w:hanging="540"/>
        <w:jc w:val="center"/>
        <w:rPr>
          <w:rFonts w:ascii="宋体" w:hAnsi="宋体" w:cs="宋体"/>
          <w:b/>
          <w:sz w:val="24"/>
        </w:rPr>
      </w:pPr>
    </w:p>
    <w:p>
      <w:pPr>
        <w:tabs>
          <w:tab w:val="left" w:pos="5580"/>
        </w:tabs>
        <w:spacing w:line="360" w:lineRule="auto"/>
        <w:ind w:left="519" w:leftChars="247" w:firstLine="20"/>
        <w:rPr>
          <w:rFonts w:ascii="宋体" w:hAnsi="宋体" w:cs="宋体"/>
          <w:color w:val="000000"/>
          <w:sz w:val="24"/>
        </w:rPr>
      </w:pPr>
      <w:r>
        <w:rPr>
          <w:rFonts w:hint="eastAsia" w:ascii="宋体" w:hAnsi="宋体" w:cs="宋体"/>
          <w:color w:val="000000"/>
          <w:sz w:val="24"/>
        </w:rPr>
        <w:t>提供会计师事务所出具的上一年度财务审计报告或银行出具的资信证明</w:t>
      </w:r>
    </w:p>
    <w:p>
      <w:pPr>
        <w:widowControl/>
        <w:spacing w:line="360" w:lineRule="auto"/>
        <w:jc w:val="center"/>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rPr>
          <w:rFonts w:hint="default"/>
          <w:b/>
          <w:sz w:val="22"/>
          <w:lang w:val="en-US" w:eastAsia="zh-CN"/>
        </w:rPr>
      </w:pPr>
      <w:r>
        <w:rPr>
          <w:rFonts w:hint="eastAsia"/>
          <w:b/>
          <w:sz w:val="22"/>
          <w:lang w:val="en-US" w:eastAsia="zh-CN"/>
        </w:rPr>
        <w:t>4</w:t>
      </w:r>
      <w:r>
        <w:rPr>
          <w:rFonts w:hint="eastAsia"/>
          <w:b/>
          <w:sz w:val="22"/>
        </w:rPr>
        <w:t>、具有履行合同所必需的设备和专业技术能力</w:t>
      </w:r>
      <w:r>
        <w:rPr>
          <w:rFonts w:hint="eastAsia"/>
          <w:b/>
          <w:sz w:val="22"/>
          <w:lang w:val="en-US" w:eastAsia="zh-CN"/>
        </w:rPr>
        <w:t>承诺书</w:t>
      </w:r>
      <w:r>
        <w:rPr>
          <w:rFonts w:hint="eastAsia"/>
          <w:b/>
          <w:sz w:val="22"/>
          <w:lang w:eastAsia="zh-CN"/>
        </w:rPr>
        <w:t>（</w:t>
      </w:r>
      <w:r>
        <w:rPr>
          <w:rFonts w:hint="eastAsia"/>
          <w:b/>
          <w:sz w:val="22"/>
          <w:lang w:val="en-US" w:eastAsia="zh-CN"/>
        </w:rPr>
        <w:t>格式自拟</w:t>
      </w:r>
      <w:r>
        <w:rPr>
          <w:rFonts w:hint="eastAsia"/>
          <w:b/>
          <w:sz w:val="22"/>
          <w:lang w:eastAsia="zh-CN"/>
        </w:rPr>
        <w:t>）</w:t>
      </w: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numPr>
          <w:ilvl w:val="-1"/>
          <w:numId w:val="0"/>
        </w:numPr>
        <w:tabs>
          <w:tab w:val="left" w:pos="318"/>
        </w:tabs>
        <w:snapToGrid w:val="0"/>
        <w:spacing w:line="360" w:lineRule="auto"/>
        <w:ind w:left="0" w:firstLine="0"/>
        <w:rPr>
          <w:rFonts w:hint="eastAsia" w:asciiTheme="minorHAnsi" w:hAnsiTheme="minorHAnsi" w:cstheme="minorBidi"/>
          <w:sz w:val="22"/>
          <w:szCs w:val="22"/>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eastAsia="zh-CN"/>
        </w:rPr>
      </w:pPr>
      <w:r>
        <w:rPr>
          <w:rFonts w:hint="eastAsia"/>
          <w:b/>
          <w:sz w:val="22"/>
          <w:lang w:val="en-US" w:eastAsia="zh-CN"/>
        </w:rPr>
        <w:t>5、</w:t>
      </w:r>
      <w:r>
        <w:rPr>
          <w:rFonts w:hint="eastAsia"/>
          <w:b/>
          <w:sz w:val="22"/>
        </w:rPr>
        <w:t>单位负责人为同一人或者存在直接控股、管理关系的不同供应商，不得同时参加本项目同一包的遴选</w:t>
      </w:r>
      <w:r>
        <w:rPr>
          <w:rFonts w:hint="eastAsia"/>
          <w:b/>
          <w:sz w:val="22"/>
          <w:lang w:val="en-US" w:eastAsia="zh-CN"/>
        </w:rPr>
        <w:t>承诺书</w:t>
      </w:r>
      <w:r>
        <w:rPr>
          <w:rFonts w:hint="eastAsia"/>
          <w:b/>
          <w:sz w:val="22"/>
        </w:rPr>
        <w:t>；</w:t>
      </w:r>
      <w:r>
        <w:rPr>
          <w:rFonts w:hint="eastAsia"/>
          <w:b/>
          <w:sz w:val="22"/>
          <w:lang w:eastAsia="zh-CN"/>
        </w:rPr>
        <w:t>（</w:t>
      </w:r>
      <w:r>
        <w:rPr>
          <w:rFonts w:hint="eastAsia"/>
          <w:b/>
          <w:sz w:val="22"/>
          <w:lang w:val="en-US" w:eastAsia="zh-CN"/>
        </w:rPr>
        <w:t>格式自拟</w:t>
      </w:r>
      <w:r>
        <w:rPr>
          <w:rFonts w:hint="eastAsia"/>
          <w:b/>
          <w:sz w:val="22"/>
          <w:lang w:eastAsia="zh-CN"/>
        </w:rPr>
        <w:t>）</w:t>
      </w:r>
    </w:p>
    <w:p>
      <w:pPr>
        <w:pStyle w:val="21"/>
        <w:numPr>
          <w:ilvl w:val="0"/>
          <w:numId w:val="0"/>
        </w:numPr>
        <w:rPr>
          <w:rFonts w:hint="eastAsia" w:cstheme="minorBidi"/>
          <w:sz w:val="22"/>
          <w:szCs w:val="22"/>
          <w:lang w:eastAsia="zh-CN"/>
        </w:rPr>
      </w:pPr>
    </w:p>
    <w:p>
      <w:pPr>
        <w:pStyle w:val="21"/>
        <w:numPr>
          <w:ilvl w:val="0"/>
          <w:numId w:val="0"/>
        </w:numPr>
        <w:rPr>
          <w:rFonts w:hint="eastAsia" w:cstheme="minorBidi"/>
          <w:sz w:val="22"/>
          <w:szCs w:val="22"/>
          <w:lang w:eastAsia="zh-CN"/>
        </w:rPr>
      </w:pPr>
    </w:p>
    <w:p>
      <w:pPr>
        <w:pStyle w:val="21"/>
        <w:numPr>
          <w:ilvl w:val="0"/>
          <w:numId w:val="0"/>
        </w:numPr>
        <w:rPr>
          <w:rFonts w:hint="eastAsia" w:cstheme="minorBidi"/>
          <w:sz w:val="22"/>
          <w:szCs w:val="22"/>
          <w:lang w:eastAsia="zh-CN"/>
        </w:rPr>
      </w:pPr>
    </w:p>
    <w:p>
      <w:pPr>
        <w:pStyle w:val="21"/>
        <w:numPr>
          <w:ilvl w:val="0"/>
          <w:numId w:val="0"/>
        </w:numPr>
        <w:rPr>
          <w:rFonts w:hint="eastAsia" w:cstheme="minorBidi"/>
          <w:sz w:val="22"/>
          <w:szCs w:val="22"/>
          <w:lang w:eastAsia="zh-CN"/>
        </w:rPr>
      </w:pPr>
    </w:p>
    <w:p>
      <w:pPr>
        <w:pStyle w:val="21"/>
        <w:numPr>
          <w:ilvl w:val="0"/>
          <w:numId w:val="0"/>
        </w:numPr>
        <w:rPr>
          <w:rFonts w:hint="eastAsia" w:cstheme="minorBidi"/>
          <w:sz w:val="22"/>
          <w:szCs w:val="22"/>
          <w:lang w:eastAsia="zh-CN"/>
        </w:rPr>
      </w:pPr>
    </w:p>
    <w:p>
      <w:pPr>
        <w:pStyle w:val="21"/>
        <w:numPr>
          <w:ilvl w:val="0"/>
          <w:numId w:val="0"/>
        </w:numPr>
        <w:rPr>
          <w:rFonts w:hint="eastAsia" w:cstheme="minorBidi"/>
          <w:sz w:val="22"/>
          <w:szCs w:val="22"/>
          <w:lang w:eastAsia="zh-CN"/>
        </w:rPr>
      </w:pPr>
    </w:p>
    <w:p>
      <w:pPr>
        <w:pStyle w:val="21"/>
        <w:numPr>
          <w:ilvl w:val="0"/>
          <w:numId w:val="0"/>
        </w:numPr>
        <w:rPr>
          <w:rFonts w:hint="eastAsia" w:cstheme="minorBidi"/>
          <w:sz w:val="22"/>
          <w:szCs w:val="22"/>
          <w:lang w:eastAsia="zh-CN"/>
        </w:rPr>
      </w:pPr>
    </w:p>
    <w:p>
      <w:pPr>
        <w:pStyle w:val="21"/>
        <w:numPr>
          <w:ilvl w:val="0"/>
          <w:numId w:val="0"/>
        </w:numPr>
        <w:rPr>
          <w:rFonts w:hint="eastAsia" w:cstheme="minorBidi"/>
          <w:sz w:val="22"/>
          <w:szCs w:val="22"/>
          <w:lang w:eastAsia="zh-CN"/>
        </w:rPr>
      </w:pPr>
    </w:p>
    <w:p>
      <w:pPr>
        <w:pStyle w:val="21"/>
        <w:numPr>
          <w:ilvl w:val="0"/>
          <w:numId w:val="0"/>
        </w:numPr>
        <w:rPr>
          <w:rFonts w:hint="eastAsia" w:cstheme="minorBidi"/>
          <w:sz w:val="22"/>
          <w:szCs w:val="22"/>
          <w:lang w:eastAsia="zh-CN"/>
        </w:rPr>
      </w:pPr>
    </w:p>
    <w:p>
      <w:pPr>
        <w:pStyle w:val="21"/>
        <w:numPr>
          <w:ilvl w:val="0"/>
          <w:numId w:val="0"/>
        </w:numPr>
        <w:rPr>
          <w:rFonts w:hint="eastAsia" w:cstheme="minorBidi"/>
          <w:sz w:val="22"/>
          <w:szCs w:val="22"/>
          <w:lang w:eastAsia="zh-CN"/>
        </w:rPr>
      </w:pPr>
    </w:p>
    <w:p>
      <w:pPr>
        <w:pStyle w:val="21"/>
        <w:numPr>
          <w:ilvl w:val="0"/>
          <w:numId w:val="0"/>
        </w:numPr>
        <w:rPr>
          <w:rFonts w:hint="eastAsia" w:cstheme="minorBidi"/>
          <w:sz w:val="22"/>
          <w:szCs w:val="22"/>
          <w:lang w:eastAsia="zh-CN"/>
        </w:rPr>
      </w:pPr>
    </w:p>
    <w:p>
      <w:pPr>
        <w:pStyle w:val="21"/>
        <w:numPr>
          <w:ilvl w:val="0"/>
          <w:numId w:val="0"/>
        </w:numPr>
        <w:rPr>
          <w:rFonts w:hint="eastAsia" w:cstheme="minorBidi"/>
          <w:sz w:val="22"/>
          <w:szCs w:val="22"/>
          <w:lang w:eastAsia="zh-CN"/>
        </w:rPr>
      </w:pPr>
    </w:p>
    <w:p>
      <w:pPr>
        <w:pStyle w:val="21"/>
        <w:numPr>
          <w:ilvl w:val="0"/>
          <w:numId w:val="0"/>
        </w:numPr>
        <w:rPr>
          <w:rFonts w:hint="eastAsia" w:cstheme="minorBidi"/>
          <w:sz w:val="22"/>
          <w:szCs w:val="22"/>
          <w:lang w:eastAsia="zh-CN"/>
        </w:rPr>
      </w:pPr>
    </w:p>
    <w:p>
      <w:pPr>
        <w:numPr>
          <w:ilvl w:val="-1"/>
          <w:numId w:val="0"/>
        </w:numPr>
        <w:tabs>
          <w:tab w:val="left" w:pos="318"/>
        </w:tabs>
        <w:snapToGrid w:val="0"/>
        <w:spacing w:line="360" w:lineRule="auto"/>
        <w:ind w:left="0" w:firstLine="0"/>
        <w:rPr>
          <w:rFonts w:hint="eastAsia"/>
          <w:sz w:val="22"/>
          <w:lang w:val="en-US" w:eastAsia="zh-CN"/>
        </w:rPr>
      </w:pPr>
    </w:p>
    <w:p>
      <w:pPr>
        <w:numPr>
          <w:ilvl w:val="-1"/>
          <w:numId w:val="0"/>
        </w:numPr>
        <w:tabs>
          <w:tab w:val="left" w:pos="318"/>
        </w:tabs>
        <w:snapToGrid w:val="0"/>
        <w:spacing w:line="360" w:lineRule="auto"/>
        <w:ind w:left="0" w:firstLine="0"/>
        <w:rPr>
          <w:rFonts w:hint="eastAsia"/>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p>
    <w:p>
      <w:pPr>
        <w:rPr>
          <w:rFonts w:hint="eastAsia"/>
          <w:b/>
          <w:sz w:val="22"/>
          <w:lang w:val="en-US" w:eastAsia="zh-CN"/>
        </w:rPr>
      </w:pPr>
      <w:r>
        <w:rPr>
          <w:rFonts w:hint="eastAsia"/>
          <w:b/>
          <w:sz w:val="22"/>
          <w:lang w:val="en-US" w:eastAsia="zh-CN"/>
        </w:rPr>
        <w:t>6、提供社会保障资金缴纳记录（近6个月内任意1个月的有效票据凭证）、依法缴纳税收的证明材料（近6个月内任意1个月依法缴纳税收的记录），包括被委托人的近6个月在该公司的社会保障资金缴纳记录；</w:t>
      </w: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pStyle w:val="18"/>
        <w:rPr>
          <w:rFonts w:ascii="宋体" w:hAnsi="宋体"/>
          <w:b/>
          <w:bCs/>
          <w:color w:val="000000"/>
          <w:sz w:val="36"/>
          <w:szCs w:val="36"/>
        </w:rPr>
      </w:pPr>
    </w:p>
    <w:p>
      <w:pPr>
        <w:rPr>
          <w:b/>
          <w:sz w:val="22"/>
        </w:rPr>
      </w:pPr>
      <w:r>
        <w:rPr>
          <w:rFonts w:hint="eastAsia"/>
          <w:b/>
          <w:sz w:val="22"/>
          <w:lang w:val="en-US" w:eastAsia="zh-CN"/>
        </w:rPr>
        <w:t>7</w:t>
      </w:r>
      <w:r>
        <w:rPr>
          <w:rFonts w:hint="eastAsia"/>
          <w:b/>
          <w:sz w:val="22"/>
        </w:rPr>
        <w:t>、中小企业声明函</w:t>
      </w:r>
    </w:p>
    <w:p>
      <w:pPr>
        <w:rPr>
          <w:b/>
          <w:sz w:val="22"/>
        </w:rPr>
      </w:pPr>
    </w:p>
    <w:p>
      <w:pPr>
        <w:widowControl/>
        <w:spacing w:line="360" w:lineRule="auto"/>
        <w:rPr>
          <w:rFonts w:ascii="宋体" w:hAnsi="宋体"/>
          <w:b/>
          <w:bCs/>
          <w:color w:val="000000"/>
          <w:sz w:val="36"/>
          <w:szCs w:val="36"/>
        </w:rPr>
      </w:pPr>
    </w:p>
    <w:p>
      <w:pPr>
        <w:widowControl/>
        <w:spacing w:line="360" w:lineRule="auto"/>
        <w:jc w:val="center"/>
        <w:rPr>
          <w:rFonts w:ascii="宋体" w:hAnsi="宋体"/>
          <w:b/>
          <w:bCs/>
          <w:color w:val="000000"/>
          <w:sz w:val="36"/>
          <w:szCs w:val="36"/>
        </w:rPr>
      </w:pPr>
      <w:r>
        <w:rPr>
          <w:rFonts w:ascii="宋体" w:hAnsi="宋体"/>
          <w:b/>
          <w:bCs/>
          <w:color w:val="000000"/>
          <w:sz w:val="36"/>
          <w:szCs w:val="36"/>
        </w:rPr>
        <w:t>中小企业声明函</w:t>
      </w:r>
    </w:p>
    <w:p>
      <w:pPr>
        <w:spacing w:line="360" w:lineRule="auto"/>
        <w:ind w:firstLine="504"/>
        <w:rPr>
          <w:rFonts w:ascii="宋体" w:hAnsi="宋体"/>
          <w:spacing w:val="6"/>
          <w:sz w:val="24"/>
        </w:rPr>
      </w:pPr>
      <w:r>
        <w:rPr>
          <w:rFonts w:ascii="宋体" w:hAnsi="宋体"/>
          <w:spacing w:val="6"/>
          <w:sz w:val="24"/>
        </w:rPr>
        <w:t>本公司郑重声明，根据《政府采购促进中小企业发展管理办法》（财库﹝2020﹞46 号）的规定，本公司参加（单位名称）的（项目名称）</w:t>
      </w:r>
      <w:r>
        <w:rPr>
          <w:rFonts w:hint="eastAsia" w:ascii="宋体" w:hAnsi="宋体"/>
          <w:spacing w:val="6"/>
          <w:sz w:val="24"/>
        </w:rPr>
        <w:t>遴选</w:t>
      </w:r>
      <w:r>
        <w:rPr>
          <w:rFonts w:ascii="宋体" w:hAnsi="宋体"/>
          <w:spacing w:val="6"/>
          <w:sz w:val="24"/>
        </w:rPr>
        <w:t>活动，全部为符合政策要求的中小企业。</w:t>
      </w:r>
    </w:p>
    <w:p>
      <w:pPr>
        <w:spacing w:line="360" w:lineRule="auto"/>
        <w:ind w:firstLine="504"/>
        <w:rPr>
          <w:rFonts w:ascii="宋体" w:hAnsi="宋体"/>
          <w:spacing w:val="6"/>
          <w:sz w:val="24"/>
        </w:rPr>
      </w:pPr>
      <w:r>
        <w:rPr>
          <w:rFonts w:ascii="宋体" w:hAnsi="宋体"/>
          <w:spacing w:val="6"/>
          <w:sz w:val="24"/>
        </w:rPr>
        <w:t>具体情况如下：</w:t>
      </w:r>
    </w:p>
    <w:p>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，属于</w:t>
      </w:r>
      <w:r>
        <w:rPr>
          <w:rFonts w:hint="eastAsia" w:ascii="宋体" w:hAnsi="宋体"/>
          <w:spacing w:val="6"/>
          <w:sz w:val="24"/>
          <w:u w:val="single"/>
          <w:lang w:val="en-US" w:eastAsia="zh-CN"/>
        </w:rPr>
        <w:t xml:space="preserve"> 服务 </w:t>
      </w:r>
      <w:r>
        <w:rPr>
          <w:rFonts w:ascii="宋体" w:hAnsi="宋体"/>
          <w:spacing w:val="6"/>
          <w:sz w:val="24"/>
        </w:rPr>
        <w:t>行业；企业为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w:t>
      </w:r>
      <w:r>
        <w:rPr>
          <w:rFonts w:ascii="宋体" w:hAnsi="宋体"/>
          <w:spacing w:val="6"/>
          <w:sz w:val="24"/>
          <w:vertAlign w:val="superscript"/>
        </w:rPr>
        <w:t>1</w:t>
      </w:r>
      <w:r>
        <w:rPr>
          <w:rFonts w:ascii="宋体" w:hAnsi="宋体"/>
          <w:spacing w:val="6"/>
          <w:sz w:val="24"/>
        </w:rPr>
        <w:t>，属于（中型企业、小型企业、微型企业）；</w:t>
      </w:r>
    </w:p>
    <w:p>
      <w:pPr>
        <w:spacing w:line="360" w:lineRule="auto"/>
        <w:ind w:firstLine="504"/>
        <w:rPr>
          <w:rFonts w:ascii="宋体" w:hAnsi="宋体"/>
          <w:spacing w:val="6"/>
          <w:sz w:val="24"/>
        </w:rPr>
      </w:pPr>
    </w:p>
    <w:p>
      <w:pPr>
        <w:pStyle w:val="18"/>
        <w:rPr>
          <w:rFonts w:ascii="宋体" w:hAnsi="宋体"/>
          <w:spacing w:val="6"/>
          <w:sz w:val="24"/>
        </w:rPr>
      </w:pPr>
    </w:p>
    <w:p>
      <w:pPr>
        <w:pStyle w:val="18"/>
        <w:rPr>
          <w:rFonts w:ascii="宋体" w:hAnsi="宋体"/>
          <w:spacing w:val="6"/>
          <w:sz w:val="24"/>
        </w:rPr>
      </w:pPr>
    </w:p>
    <w:p>
      <w:pPr>
        <w:pStyle w:val="18"/>
        <w:rPr>
          <w:rFonts w:ascii="宋体" w:hAnsi="宋体"/>
          <w:spacing w:val="6"/>
          <w:sz w:val="24"/>
        </w:rPr>
      </w:pPr>
    </w:p>
    <w:p>
      <w:pPr>
        <w:pStyle w:val="18"/>
        <w:rPr>
          <w:rFonts w:ascii="宋体" w:hAnsi="宋体"/>
          <w:spacing w:val="6"/>
          <w:sz w:val="24"/>
        </w:rPr>
      </w:pPr>
    </w:p>
    <w:p>
      <w:pPr>
        <w:spacing w:line="360" w:lineRule="auto"/>
        <w:ind w:firstLine="504"/>
        <w:rPr>
          <w:rFonts w:ascii="宋体" w:hAnsi="宋体"/>
          <w:spacing w:val="6"/>
          <w:sz w:val="24"/>
        </w:rPr>
      </w:pPr>
      <w:r>
        <w:rPr>
          <w:rFonts w:ascii="宋体" w:hAnsi="宋体"/>
          <w:spacing w:val="6"/>
          <w:sz w:val="24"/>
        </w:rPr>
        <w:t>……</w:t>
      </w:r>
    </w:p>
    <w:p>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pPr>
        <w:spacing w:line="360" w:lineRule="auto"/>
        <w:ind w:right="360"/>
        <w:rPr>
          <w:rFonts w:ascii="宋体" w:hAnsi="宋体"/>
          <w:color w:val="000000"/>
          <w:sz w:val="24"/>
        </w:rPr>
      </w:pPr>
    </w:p>
    <w:p>
      <w:pPr>
        <w:spacing w:line="360" w:lineRule="auto"/>
        <w:ind w:right="360" w:firstLine="480"/>
        <w:jc w:val="right"/>
        <w:rPr>
          <w:rFonts w:ascii="宋体" w:hAnsi="宋体"/>
          <w:color w:val="000000"/>
          <w:sz w:val="24"/>
        </w:rPr>
      </w:pPr>
    </w:p>
    <w:p>
      <w:pPr>
        <w:spacing w:line="360" w:lineRule="auto"/>
        <w:ind w:firstLine="1980" w:firstLineChars="900"/>
        <w:rPr>
          <w:sz w:val="22"/>
          <w:u w:val="single"/>
        </w:rPr>
      </w:pPr>
      <w:r>
        <w:rPr>
          <w:rFonts w:hint="eastAsia"/>
          <w:sz w:val="22"/>
        </w:rPr>
        <w:t>供应商法定代表人或授权代表（签字）：</w:t>
      </w:r>
      <w:r>
        <w:rPr>
          <w:rFonts w:hint="eastAsia"/>
          <w:sz w:val="22"/>
          <w:u w:val="single"/>
        </w:rPr>
        <w:t xml:space="preserve">                      </w:t>
      </w:r>
    </w:p>
    <w:p>
      <w:pPr>
        <w:spacing w:line="360" w:lineRule="auto"/>
        <w:ind w:firstLine="2860" w:firstLineChars="1300"/>
        <w:rPr>
          <w:sz w:val="22"/>
          <w:u w:val="single"/>
        </w:rPr>
      </w:pPr>
      <w:r>
        <w:rPr>
          <w:rFonts w:hint="eastAsia"/>
          <w:sz w:val="22"/>
        </w:rPr>
        <w:t>供应商名称（加盖单位公章）：</w:t>
      </w:r>
      <w:r>
        <w:rPr>
          <w:rFonts w:hint="eastAsia"/>
          <w:sz w:val="22"/>
          <w:u w:val="single"/>
        </w:rPr>
        <w:t xml:space="preserve">            </w:t>
      </w:r>
      <w:r>
        <w:rPr>
          <w:rFonts w:hint="eastAsia"/>
          <w:sz w:val="22"/>
          <w:u w:val="single"/>
          <w:lang w:val="en-US" w:eastAsia="zh-CN"/>
        </w:rPr>
        <w:t xml:space="preserve">   </w:t>
      </w:r>
      <w:r>
        <w:rPr>
          <w:rFonts w:hint="eastAsia"/>
          <w:sz w:val="22"/>
          <w:u w:val="single"/>
        </w:rPr>
        <w:t xml:space="preserve">       </w:t>
      </w:r>
      <w:r>
        <w:rPr>
          <w:rFonts w:hint="eastAsia"/>
          <w:sz w:val="22"/>
        </w:rPr>
        <w:t xml:space="preserve">  </w:t>
      </w:r>
    </w:p>
    <w:p>
      <w:pPr>
        <w:adjustRightInd w:val="0"/>
        <w:snapToGrid w:val="0"/>
        <w:spacing w:line="360" w:lineRule="auto"/>
        <w:jc w:val="left"/>
        <w:rPr>
          <w:rFonts w:ascii="宋体" w:hAnsi="宋体"/>
          <w:color w:val="000000"/>
          <w:sz w:val="24"/>
          <w:szCs w:val="21"/>
        </w:rPr>
      </w:pPr>
    </w:p>
    <w:p>
      <w:pPr>
        <w:adjustRightInd w:val="0"/>
        <w:snapToGrid w:val="0"/>
        <w:spacing w:line="360" w:lineRule="auto"/>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 w:val="24"/>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p>
      <w:pPr>
        <w:pStyle w:val="57"/>
        <w:snapToGrid w:val="0"/>
        <w:spacing w:after="240" w:afterLines="100" w:line="360" w:lineRule="auto"/>
        <w:jc w:val="both"/>
        <w:rPr>
          <w:b w:val="0"/>
          <w:sz w:val="22"/>
          <w:szCs w:val="22"/>
        </w:rPr>
      </w:pPr>
    </w:p>
    <w:p>
      <w:pPr>
        <w:rPr>
          <w:rFonts w:hint="eastAsia"/>
          <w:b/>
          <w:sz w:val="22"/>
          <w:lang w:val="en-US" w:eastAsia="zh-CN"/>
        </w:rPr>
      </w:pPr>
      <w:r>
        <w:rPr>
          <w:rFonts w:hint="eastAsia"/>
          <w:b/>
          <w:sz w:val="22"/>
          <w:lang w:val="en-US" w:eastAsia="zh-CN"/>
        </w:rPr>
        <w:t>8、非联合体进行本项目遴选承诺书--格式自拟</w:t>
      </w: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pStyle w:val="21"/>
        <w:numPr>
          <w:ilvl w:val="0"/>
          <w:numId w:val="0"/>
        </w:numPr>
        <w:rPr>
          <w:rFonts w:hint="eastAsia"/>
          <w:sz w:val="22"/>
        </w:rPr>
      </w:pPr>
    </w:p>
    <w:p>
      <w:pPr>
        <w:rPr>
          <w:rFonts w:hint="eastAsia"/>
          <w:b/>
          <w:sz w:val="22"/>
          <w:lang w:val="zh-CN" w:eastAsia="zh-CN"/>
        </w:rPr>
      </w:pPr>
      <w:r>
        <w:rPr>
          <w:rFonts w:hint="eastAsia"/>
          <w:b/>
          <w:sz w:val="22"/>
          <w:lang w:val="en-US" w:eastAsia="zh-CN"/>
        </w:rPr>
        <w:t>9、服务方案---格式自拟</w:t>
      </w:r>
      <w:r>
        <w:rPr>
          <w:rFonts w:hint="eastAsia"/>
          <w:b/>
          <w:sz w:val="22"/>
          <w:lang w:val="zh-CN" w:eastAsia="zh-CN"/>
        </w:rPr>
        <w:t>；</w:t>
      </w: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pStyle w:val="21"/>
        <w:numPr>
          <w:ilvl w:val="0"/>
          <w:numId w:val="0"/>
        </w:numPr>
      </w:pPr>
    </w:p>
    <w:p>
      <w:pPr>
        <w:rPr>
          <w:rFonts w:hint="eastAsia"/>
          <w:b/>
          <w:sz w:val="22"/>
          <w:lang w:val="en-US" w:eastAsia="zh-CN"/>
        </w:rPr>
      </w:pPr>
      <w:r>
        <w:rPr>
          <w:rFonts w:hint="eastAsia"/>
          <w:b/>
          <w:sz w:val="22"/>
          <w:lang w:val="en-US" w:eastAsia="zh-CN"/>
        </w:rPr>
        <w:t>10、供应商认为需要提供的其他证明材料。</w:t>
      </w:r>
    </w:p>
    <w:p>
      <w:pPr>
        <w:rPr>
          <w:rFonts w:asciiTheme="minorEastAsia" w:hAnsiTheme="minorEastAsia"/>
          <w:b/>
          <w:color w:val="000000"/>
          <w:sz w:val="24"/>
        </w:rPr>
      </w:pPr>
    </w:p>
    <w:p>
      <w:pPr>
        <w:rPr>
          <w:rFonts w:asciiTheme="minorEastAsia" w:hAnsiTheme="minorEastAsia"/>
          <w:b/>
          <w:color w:val="000000"/>
          <w:sz w:val="24"/>
        </w:rPr>
      </w:pPr>
    </w:p>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宋体 (正文)">
    <w:altName w:val="宋体"/>
    <w:panose1 w:val="00000000000000000000"/>
    <w:charset w:val="00"/>
    <w:family w:val="auto"/>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302494"/>
    </w:sdtPr>
    <w:sdtContent>
      <w:sdt>
        <w:sdtPr>
          <w:id w:val="171357217"/>
        </w:sdtPr>
        <w:sdtContent>
          <w:p>
            <w:pPr>
              <w:pStyle w:val="18"/>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A"/>
    <w:multiLevelType w:val="multilevel"/>
    <w:tmpl w:val="0000002A"/>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C349EA"/>
    <w:multiLevelType w:val="multilevel"/>
    <w:tmpl w:val="05C349EA"/>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D924CC6"/>
    <w:multiLevelType w:val="multilevel"/>
    <w:tmpl w:val="0D924CC6"/>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0B10BD8"/>
    <w:multiLevelType w:val="multilevel"/>
    <w:tmpl w:val="10B10BD8"/>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b w:val="0"/>
      </w:rPr>
    </w:lvl>
    <w:lvl w:ilvl="3" w:tentative="0">
      <w:start w:val="1"/>
      <w:numFmt w:val="decimal"/>
      <w:lvlText w:val="%1.%2.%3.%4"/>
      <w:lvlJc w:val="left"/>
      <w:pPr>
        <w:ind w:left="228" w:hanging="1080"/>
      </w:pPr>
      <w:rPr>
        <w:rFonts w:hint="default"/>
      </w:rPr>
    </w:lvl>
    <w:lvl w:ilvl="4" w:tentative="0">
      <w:start w:val="1"/>
      <w:numFmt w:val="decimal"/>
      <w:lvlText w:val="%1.%2.%3.%4.%5"/>
      <w:lvlJc w:val="left"/>
      <w:pPr>
        <w:ind w:left="-56" w:hanging="1080"/>
      </w:pPr>
      <w:rPr>
        <w:rFonts w:hint="default"/>
      </w:rPr>
    </w:lvl>
    <w:lvl w:ilvl="5" w:tentative="0">
      <w:start w:val="1"/>
      <w:numFmt w:val="decimal"/>
      <w:lvlText w:val="%1.%2.%3.%4.%5.%6"/>
      <w:lvlJc w:val="left"/>
      <w:pPr>
        <w:ind w:left="20" w:hanging="1440"/>
      </w:pPr>
      <w:rPr>
        <w:rFonts w:hint="default"/>
      </w:rPr>
    </w:lvl>
    <w:lvl w:ilvl="6" w:tentative="0">
      <w:start w:val="1"/>
      <w:numFmt w:val="decimal"/>
      <w:lvlText w:val="%1.%2.%3.%4.%5.%6.%7"/>
      <w:lvlJc w:val="left"/>
      <w:pPr>
        <w:ind w:left="-264" w:hanging="1440"/>
      </w:pPr>
      <w:rPr>
        <w:rFonts w:hint="default"/>
      </w:rPr>
    </w:lvl>
    <w:lvl w:ilvl="7" w:tentative="0">
      <w:start w:val="1"/>
      <w:numFmt w:val="decimal"/>
      <w:lvlText w:val="%1.%2.%3.%4.%5.%6.%7.%8"/>
      <w:lvlJc w:val="left"/>
      <w:pPr>
        <w:ind w:left="-188" w:hanging="1800"/>
      </w:pPr>
      <w:rPr>
        <w:rFonts w:hint="default"/>
      </w:rPr>
    </w:lvl>
    <w:lvl w:ilvl="8" w:tentative="0">
      <w:start w:val="1"/>
      <w:numFmt w:val="decimal"/>
      <w:lvlText w:val="%1.%2.%3.%4.%5.%6.%7.%8.%9"/>
      <w:lvlJc w:val="left"/>
      <w:pPr>
        <w:ind w:left="-472" w:hanging="1800"/>
      </w:pPr>
      <w:rPr>
        <w:rFonts w:hint="default"/>
      </w:rPr>
    </w:lvl>
  </w:abstractNum>
  <w:abstractNum w:abstractNumId="4">
    <w:nsid w:val="14CF0507"/>
    <w:multiLevelType w:val="multilevel"/>
    <w:tmpl w:val="14CF0507"/>
    <w:lvl w:ilvl="0" w:tentative="0">
      <w:start w:val="1"/>
      <w:numFmt w:val="decimal"/>
      <w:lvlText w:val="%1."/>
      <w:lvlJc w:val="left"/>
      <w:pPr>
        <w:ind w:left="785" w:hanging="360"/>
      </w:pPr>
      <w:rPr>
        <w:rFonts w:hint="default"/>
        <w:color w:val="000000"/>
        <w:sz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172773DD"/>
    <w:multiLevelType w:val="multilevel"/>
    <w:tmpl w:val="172773DD"/>
    <w:lvl w:ilvl="0" w:tentative="0">
      <w:start w:val="3"/>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18AB0BAB"/>
    <w:multiLevelType w:val="multilevel"/>
    <w:tmpl w:val="18AB0BAB"/>
    <w:lvl w:ilvl="0" w:tentative="0">
      <w:start w:val="1"/>
      <w:numFmt w:val="decimal"/>
      <w:lvlText w:val="%1"/>
      <w:lvlJc w:val="left"/>
      <w:pPr>
        <w:ind w:left="360" w:hanging="360"/>
      </w:pPr>
      <w:rPr>
        <w:rFonts w:hint="default"/>
      </w:rPr>
    </w:lvl>
    <w:lvl w:ilvl="1" w:tentative="0">
      <w:start w:val="1"/>
      <w:numFmt w:val="decimal"/>
      <w:lvlText w:val="%1.%2"/>
      <w:lvlJc w:val="left"/>
      <w:pPr>
        <w:ind w:left="392" w:hanging="360"/>
      </w:pPr>
      <w:rPr>
        <w:rFonts w:hint="default"/>
      </w:rPr>
    </w:lvl>
    <w:lvl w:ilvl="2" w:tentative="0">
      <w:start w:val="1"/>
      <w:numFmt w:val="decimal"/>
      <w:lvlText w:val="%1.%2.%3"/>
      <w:lvlJc w:val="left"/>
      <w:pPr>
        <w:ind w:left="784" w:hanging="720"/>
      </w:pPr>
      <w:rPr>
        <w:rFonts w:hint="default"/>
      </w:rPr>
    </w:lvl>
    <w:lvl w:ilvl="3" w:tentative="0">
      <w:start w:val="1"/>
      <w:numFmt w:val="decimal"/>
      <w:lvlText w:val="%1.%2.%3.%4"/>
      <w:lvlJc w:val="left"/>
      <w:pPr>
        <w:ind w:left="1176" w:hanging="1080"/>
      </w:pPr>
      <w:rPr>
        <w:rFonts w:hint="default"/>
      </w:rPr>
    </w:lvl>
    <w:lvl w:ilvl="4" w:tentative="0">
      <w:start w:val="1"/>
      <w:numFmt w:val="decimal"/>
      <w:lvlText w:val="%1.%2.%3.%4.%5"/>
      <w:lvlJc w:val="left"/>
      <w:pPr>
        <w:ind w:left="1208" w:hanging="1080"/>
      </w:pPr>
      <w:rPr>
        <w:rFonts w:hint="default"/>
      </w:rPr>
    </w:lvl>
    <w:lvl w:ilvl="5" w:tentative="0">
      <w:start w:val="1"/>
      <w:numFmt w:val="decimal"/>
      <w:lvlText w:val="%1.%2.%3.%4.%5.%6"/>
      <w:lvlJc w:val="left"/>
      <w:pPr>
        <w:ind w:left="1600" w:hanging="1440"/>
      </w:pPr>
      <w:rPr>
        <w:rFonts w:hint="default"/>
      </w:rPr>
    </w:lvl>
    <w:lvl w:ilvl="6" w:tentative="0">
      <w:start w:val="1"/>
      <w:numFmt w:val="decimal"/>
      <w:lvlText w:val="%1.%2.%3.%4.%5.%6.%7"/>
      <w:lvlJc w:val="left"/>
      <w:pPr>
        <w:ind w:left="1632" w:hanging="1440"/>
      </w:pPr>
      <w:rPr>
        <w:rFonts w:hint="default"/>
      </w:rPr>
    </w:lvl>
    <w:lvl w:ilvl="7" w:tentative="0">
      <w:start w:val="1"/>
      <w:numFmt w:val="decimal"/>
      <w:lvlText w:val="%1.%2.%3.%4.%5.%6.%7.%8"/>
      <w:lvlJc w:val="left"/>
      <w:pPr>
        <w:ind w:left="2024" w:hanging="1800"/>
      </w:pPr>
      <w:rPr>
        <w:rFonts w:hint="default"/>
      </w:rPr>
    </w:lvl>
    <w:lvl w:ilvl="8" w:tentative="0">
      <w:start w:val="1"/>
      <w:numFmt w:val="decimal"/>
      <w:lvlText w:val="%1.%2.%3.%4.%5.%6.%7.%8.%9"/>
      <w:lvlJc w:val="left"/>
      <w:pPr>
        <w:ind w:left="2056" w:hanging="1800"/>
      </w:pPr>
      <w:rPr>
        <w:rFonts w:hint="default"/>
      </w:rPr>
    </w:lvl>
  </w:abstractNum>
  <w:abstractNum w:abstractNumId="7">
    <w:nsid w:val="1E4148AD"/>
    <w:multiLevelType w:val="multilevel"/>
    <w:tmpl w:val="1E4148AD"/>
    <w:lvl w:ilvl="0" w:tentative="0">
      <w:start w:val="1"/>
      <w:numFmt w:val="decimal"/>
      <w:lvlText w:val="%1."/>
      <w:lvlJc w:val="left"/>
      <w:pPr>
        <w:tabs>
          <w:tab w:val="left" w:pos="420"/>
        </w:tabs>
        <w:ind w:left="420" w:hanging="420"/>
      </w:pPr>
    </w:lvl>
    <w:lvl w:ilvl="1" w:tentative="0">
      <w:start w:val="1"/>
      <w:numFmt w:val="chineseCountingThousand"/>
      <w:lvlText w:val="%2、"/>
      <w:lvlJc w:val="left"/>
      <w:pPr>
        <w:tabs>
          <w:tab w:val="left" w:pos="420"/>
        </w:tabs>
        <w:ind w:left="420" w:hanging="420"/>
      </w:pPr>
      <w:rPr>
        <w:rFonts w:ascii="宋体" w:hAnsi="宋体" w:eastAsia="宋体"/>
        <w:sz w:val="21"/>
        <w:szCs w:val="21"/>
      </w:r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F7B76A2"/>
    <w:multiLevelType w:val="multilevel"/>
    <w:tmpl w:val="1F7B76A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B6B9467"/>
    <w:multiLevelType w:val="singleLevel"/>
    <w:tmpl w:val="2B6B9467"/>
    <w:lvl w:ilvl="0" w:tentative="0">
      <w:start w:val="5"/>
      <w:numFmt w:val="chineseCounting"/>
      <w:suff w:val="space"/>
      <w:lvlText w:val="第%1章"/>
      <w:lvlJc w:val="left"/>
      <w:rPr>
        <w:rFonts w:hint="eastAsia"/>
      </w:rPr>
    </w:lvl>
  </w:abstractNum>
  <w:abstractNum w:abstractNumId="10">
    <w:nsid w:val="2E02420D"/>
    <w:multiLevelType w:val="multilevel"/>
    <w:tmpl w:val="2E02420D"/>
    <w:lvl w:ilvl="0" w:tentative="0">
      <w:start w:val="3"/>
      <w:numFmt w:val="decimal"/>
      <w:lvlText w:val="%1."/>
      <w:lvlJc w:val="left"/>
      <w:pPr>
        <w:tabs>
          <w:tab w:val="left" w:pos="420"/>
        </w:tabs>
        <w:ind w:left="420" w:hanging="420"/>
      </w:pPr>
      <w:rPr>
        <w:rFonts w:hint="eastAsia"/>
      </w:rPr>
    </w:lvl>
    <w:lvl w:ilvl="1" w:tentative="0">
      <w:start w:val="5"/>
      <w:numFmt w:val="chineseCountingThousand"/>
      <w:lvlText w:val="%2、"/>
      <w:lvlJc w:val="left"/>
      <w:pPr>
        <w:tabs>
          <w:tab w:val="left" w:pos="420"/>
        </w:tabs>
        <w:ind w:left="420" w:hanging="420"/>
      </w:pPr>
      <w:rPr>
        <w:rFonts w:hint="eastAsia" w:ascii="宋体" w:hAnsi="宋体" w:eastAsia="宋体"/>
        <w:sz w:val="21"/>
        <w:szCs w:val="21"/>
      </w:rPr>
    </w:lvl>
    <w:lvl w:ilvl="2" w:tentative="0">
      <w:start w:val="1"/>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1">
    <w:nsid w:val="2E77A76B"/>
    <w:multiLevelType w:val="singleLevel"/>
    <w:tmpl w:val="2E77A76B"/>
    <w:lvl w:ilvl="0" w:tentative="0">
      <w:start w:val="4"/>
      <w:numFmt w:val="chineseCounting"/>
      <w:suff w:val="space"/>
      <w:lvlText w:val="第%1章"/>
      <w:lvlJc w:val="left"/>
      <w:rPr>
        <w:rFonts w:hint="eastAsia"/>
      </w:rPr>
    </w:lvl>
  </w:abstractNum>
  <w:abstractNum w:abstractNumId="12">
    <w:nsid w:val="2F4A6BF4"/>
    <w:multiLevelType w:val="multilevel"/>
    <w:tmpl w:val="2F4A6BF4"/>
    <w:lvl w:ilvl="0" w:tentative="0">
      <w:start w:val="1"/>
      <w:numFmt w:val="decimal"/>
      <w:lvlText w:val="%1)"/>
      <w:lvlJc w:val="left"/>
      <w:pPr>
        <w:tabs>
          <w:tab w:val="left" w:pos="0"/>
        </w:tabs>
        <w:ind w:left="340" w:hanging="3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FE685"/>
    <w:multiLevelType w:val="singleLevel"/>
    <w:tmpl w:val="471FE685"/>
    <w:lvl w:ilvl="0" w:tentative="0">
      <w:start w:val="6"/>
      <w:numFmt w:val="chineseCounting"/>
      <w:suff w:val="space"/>
      <w:lvlText w:val="第%1章"/>
      <w:lvlJc w:val="left"/>
      <w:rPr>
        <w:rFonts w:hint="eastAsia"/>
      </w:rPr>
    </w:lvl>
  </w:abstractNum>
  <w:abstractNum w:abstractNumId="14">
    <w:nsid w:val="6A08009B"/>
    <w:multiLevelType w:val="multilevel"/>
    <w:tmpl w:val="6A08009B"/>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b w:val="0"/>
      </w:rPr>
    </w:lvl>
    <w:lvl w:ilvl="2" w:tentative="0">
      <w:start w:val="1"/>
      <w:numFmt w:val="decimal"/>
      <w:lvlText w:val="%1.%2.%3"/>
      <w:lvlJc w:val="left"/>
      <w:pPr>
        <w:ind w:left="152" w:hanging="720"/>
      </w:pPr>
      <w:rPr>
        <w:rFonts w:hint="default"/>
      </w:rPr>
    </w:lvl>
    <w:lvl w:ilvl="3" w:tentative="0">
      <w:start w:val="1"/>
      <w:numFmt w:val="decimal"/>
      <w:lvlText w:val="%1.%2.%3.%4"/>
      <w:lvlJc w:val="left"/>
      <w:pPr>
        <w:ind w:left="228" w:hanging="1080"/>
      </w:pPr>
      <w:rPr>
        <w:rFonts w:hint="default"/>
      </w:rPr>
    </w:lvl>
    <w:lvl w:ilvl="4" w:tentative="0">
      <w:start w:val="1"/>
      <w:numFmt w:val="decimal"/>
      <w:lvlText w:val="%1.%2.%3.%4.%5"/>
      <w:lvlJc w:val="left"/>
      <w:pPr>
        <w:ind w:left="-56" w:hanging="1080"/>
      </w:pPr>
      <w:rPr>
        <w:rFonts w:hint="default"/>
      </w:rPr>
    </w:lvl>
    <w:lvl w:ilvl="5" w:tentative="0">
      <w:start w:val="1"/>
      <w:numFmt w:val="decimal"/>
      <w:lvlText w:val="%1.%2.%3.%4.%5.%6"/>
      <w:lvlJc w:val="left"/>
      <w:pPr>
        <w:ind w:left="20" w:hanging="1440"/>
      </w:pPr>
      <w:rPr>
        <w:rFonts w:hint="default"/>
      </w:rPr>
    </w:lvl>
    <w:lvl w:ilvl="6" w:tentative="0">
      <w:start w:val="1"/>
      <w:numFmt w:val="decimal"/>
      <w:lvlText w:val="%1.%2.%3.%4.%5.%6.%7"/>
      <w:lvlJc w:val="left"/>
      <w:pPr>
        <w:ind w:left="-264" w:hanging="1440"/>
      </w:pPr>
      <w:rPr>
        <w:rFonts w:hint="default"/>
      </w:rPr>
    </w:lvl>
    <w:lvl w:ilvl="7" w:tentative="0">
      <w:start w:val="1"/>
      <w:numFmt w:val="decimal"/>
      <w:lvlText w:val="%1.%2.%3.%4.%5.%6.%7.%8"/>
      <w:lvlJc w:val="left"/>
      <w:pPr>
        <w:ind w:left="-188" w:hanging="1800"/>
      </w:pPr>
      <w:rPr>
        <w:rFonts w:hint="default"/>
      </w:rPr>
    </w:lvl>
    <w:lvl w:ilvl="8" w:tentative="0">
      <w:start w:val="1"/>
      <w:numFmt w:val="decimal"/>
      <w:lvlText w:val="%1.%2.%3.%4.%5.%6.%7.%8.%9"/>
      <w:lvlJc w:val="left"/>
      <w:pPr>
        <w:ind w:left="-472" w:hanging="1800"/>
      </w:pPr>
      <w:rPr>
        <w:rFonts w:hint="default"/>
      </w:rPr>
    </w:lvl>
  </w:abstractNum>
  <w:abstractNum w:abstractNumId="15">
    <w:nsid w:val="763F107F"/>
    <w:multiLevelType w:val="multilevel"/>
    <w:tmpl w:val="763F107F"/>
    <w:lvl w:ilvl="0" w:tentative="0">
      <w:start w:val="1"/>
      <w:numFmt w:val="decimal"/>
      <w:lvlText w:val="（%1）"/>
      <w:lvlJc w:val="left"/>
      <w:pPr>
        <w:tabs>
          <w:tab w:val="left" w:pos="587"/>
        </w:tabs>
        <w:ind w:left="587" w:hanging="482"/>
      </w:pPr>
      <w:rPr>
        <w:rFonts w:ascii="Arial" w:hAnsi="Arial" w:eastAsia="宋体"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4"/>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9"/>
  </w:num>
  <w:num w:numId="7">
    <w:abstractNumId w:val="7"/>
  </w:num>
  <w:num w:numId="8">
    <w:abstractNumId w:val="6"/>
  </w:num>
  <w:num w:numId="9">
    <w:abstractNumId w:val="14"/>
  </w:num>
  <w:num w:numId="10">
    <w:abstractNumId w:val="1"/>
  </w:num>
  <w:num w:numId="11">
    <w:abstractNumId w:val="3"/>
  </w:num>
  <w:num w:numId="12">
    <w:abstractNumId w:val="10"/>
  </w:num>
  <w:num w:numId="13">
    <w:abstractNumId w:val="5"/>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DNkZmU4N2I1N2FmNTE1YjI0ZjkxOTc2MmU0NTAifQ=="/>
  </w:docVars>
  <w:rsids>
    <w:rsidRoot w:val="00DB2C78"/>
    <w:rsid w:val="0000188C"/>
    <w:rsid w:val="0000267D"/>
    <w:rsid w:val="00003661"/>
    <w:rsid w:val="00006881"/>
    <w:rsid w:val="00007BEA"/>
    <w:rsid w:val="00011B65"/>
    <w:rsid w:val="00013CF8"/>
    <w:rsid w:val="00014AE3"/>
    <w:rsid w:val="00017543"/>
    <w:rsid w:val="000176E3"/>
    <w:rsid w:val="000201BB"/>
    <w:rsid w:val="00026973"/>
    <w:rsid w:val="00026A47"/>
    <w:rsid w:val="00027CF7"/>
    <w:rsid w:val="000316A1"/>
    <w:rsid w:val="00041A9E"/>
    <w:rsid w:val="00044424"/>
    <w:rsid w:val="00046C19"/>
    <w:rsid w:val="00047546"/>
    <w:rsid w:val="000501B1"/>
    <w:rsid w:val="0005185F"/>
    <w:rsid w:val="00060FAA"/>
    <w:rsid w:val="0006630F"/>
    <w:rsid w:val="000678B9"/>
    <w:rsid w:val="00076A14"/>
    <w:rsid w:val="000816EA"/>
    <w:rsid w:val="00083C16"/>
    <w:rsid w:val="0008527E"/>
    <w:rsid w:val="00086C88"/>
    <w:rsid w:val="00086F7F"/>
    <w:rsid w:val="00092384"/>
    <w:rsid w:val="00094D95"/>
    <w:rsid w:val="0009583D"/>
    <w:rsid w:val="000A3D55"/>
    <w:rsid w:val="000A5090"/>
    <w:rsid w:val="000A76B9"/>
    <w:rsid w:val="000B27E5"/>
    <w:rsid w:val="000B4444"/>
    <w:rsid w:val="000B5CCF"/>
    <w:rsid w:val="000C3D70"/>
    <w:rsid w:val="000C795B"/>
    <w:rsid w:val="000E188E"/>
    <w:rsid w:val="000E1ABB"/>
    <w:rsid w:val="000E21A9"/>
    <w:rsid w:val="000E22E4"/>
    <w:rsid w:val="000E4145"/>
    <w:rsid w:val="000E7259"/>
    <w:rsid w:val="000F0D58"/>
    <w:rsid w:val="000F137A"/>
    <w:rsid w:val="000F602A"/>
    <w:rsid w:val="000F6628"/>
    <w:rsid w:val="00105247"/>
    <w:rsid w:val="00116432"/>
    <w:rsid w:val="00120015"/>
    <w:rsid w:val="00123064"/>
    <w:rsid w:val="0012596A"/>
    <w:rsid w:val="0012599F"/>
    <w:rsid w:val="001262A9"/>
    <w:rsid w:val="00131494"/>
    <w:rsid w:val="00133B29"/>
    <w:rsid w:val="00133FF2"/>
    <w:rsid w:val="00141234"/>
    <w:rsid w:val="00144E3F"/>
    <w:rsid w:val="00145A21"/>
    <w:rsid w:val="001460BA"/>
    <w:rsid w:val="00146918"/>
    <w:rsid w:val="00147766"/>
    <w:rsid w:val="00153CDC"/>
    <w:rsid w:val="001574AC"/>
    <w:rsid w:val="001624F7"/>
    <w:rsid w:val="001629D6"/>
    <w:rsid w:val="001658FB"/>
    <w:rsid w:val="001761AA"/>
    <w:rsid w:val="00176FEF"/>
    <w:rsid w:val="00177CCA"/>
    <w:rsid w:val="0018187A"/>
    <w:rsid w:val="00184D6A"/>
    <w:rsid w:val="00190A0B"/>
    <w:rsid w:val="001929B8"/>
    <w:rsid w:val="00192B10"/>
    <w:rsid w:val="00193875"/>
    <w:rsid w:val="001957CD"/>
    <w:rsid w:val="001A146D"/>
    <w:rsid w:val="001A1999"/>
    <w:rsid w:val="001A46C3"/>
    <w:rsid w:val="001A5191"/>
    <w:rsid w:val="001A667E"/>
    <w:rsid w:val="001A69B5"/>
    <w:rsid w:val="001B2349"/>
    <w:rsid w:val="001C0DFD"/>
    <w:rsid w:val="001C1311"/>
    <w:rsid w:val="001C23EB"/>
    <w:rsid w:val="001C27DE"/>
    <w:rsid w:val="001C3B9F"/>
    <w:rsid w:val="001C57F8"/>
    <w:rsid w:val="001C7F5B"/>
    <w:rsid w:val="001D0C93"/>
    <w:rsid w:val="001D5A7B"/>
    <w:rsid w:val="001D7F8A"/>
    <w:rsid w:val="001E282A"/>
    <w:rsid w:val="001E2ABB"/>
    <w:rsid w:val="001F0175"/>
    <w:rsid w:val="001F1391"/>
    <w:rsid w:val="001F4CEE"/>
    <w:rsid w:val="001F6884"/>
    <w:rsid w:val="00210DBE"/>
    <w:rsid w:val="00211867"/>
    <w:rsid w:val="00213E7F"/>
    <w:rsid w:val="00213FED"/>
    <w:rsid w:val="002141BB"/>
    <w:rsid w:val="0021594F"/>
    <w:rsid w:val="00216144"/>
    <w:rsid w:val="002205C1"/>
    <w:rsid w:val="00220D58"/>
    <w:rsid w:val="00220D65"/>
    <w:rsid w:val="0022273C"/>
    <w:rsid w:val="00231542"/>
    <w:rsid w:val="00232C98"/>
    <w:rsid w:val="0023684F"/>
    <w:rsid w:val="00240A72"/>
    <w:rsid w:val="00242A26"/>
    <w:rsid w:val="00242C57"/>
    <w:rsid w:val="002467A1"/>
    <w:rsid w:val="00250686"/>
    <w:rsid w:val="00250C53"/>
    <w:rsid w:val="00260430"/>
    <w:rsid w:val="002633C3"/>
    <w:rsid w:val="00265B38"/>
    <w:rsid w:val="002663C4"/>
    <w:rsid w:val="002668DD"/>
    <w:rsid w:val="00266AA1"/>
    <w:rsid w:val="00272566"/>
    <w:rsid w:val="00274057"/>
    <w:rsid w:val="002754E8"/>
    <w:rsid w:val="00276169"/>
    <w:rsid w:val="0028120D"/>
    <w:rsid w:val="00282B17"/>
    <w:rsid w:val="002936D8"/>
    <w:rsid w:val="00294A10"/>
    <w:rsid w:val="002A053B"/>
    <w:rsid w:val="002A12DC"/>
    <w:rsid w:val="002A1A60"/>
    <w:rsid w:val="002A649F"/>
    <w:rsid w:val="002B06A3"/>
    <w:rsid w:val="002B0994"/>
    <w:rsid w:val="002B13BE"/>
    <w:rsid w:val="002B4B15"/>
    <w:rsid w:val="002B6299"/>
    <w:rsid w:val="002B790E"/>
    <w:rsid w:val="002B7D8E"/>
    <w:rsid w:val="002C1C58"/>
    <w:rsid w:val="002C6068"/>
    <w:rsid w:val="002D0C1D"/>
    <w:rsid w:val="002D0EC2"/>
    <w:rsid w:val="002D11E5"/>
    <w:rsid w:val="002D1E2F"/>
    <w:rsid w:val="002D65E0"/>
    <w:rsid w:val="002E17B7"/>
    <w:rsid w:val="002E1AC7"/>
    <w:rsid w:val="002E526D"/>
    <w:rsid w:val="002E689F"/>
    <w:rsid w:val="002F06FF"/>
    <w:rsid w:val="002F47BA"/>
    <w:rsid w:val="002F49B6"/>
    <w:rsid w:val="00301C95"/>
    <w:rsid w:val="00302F2E"/>
    <w:rsid w:val="00303075"/>
    <w:rsid w:val="0030672C"/>
    <w:rsid w:val="00311241"/>
    <w:rsid w:val="00311C84"/>
    <w:rsid w:val="003125FD"/>
    <w:rsid w:val="003128F5"/>
    <w:rsid w:val="003142A6"/>
    <w:rsid w:val="00314965"/>
    <w:rsid w:val="00316793"/>
    <w:rsid w:val="00317837"/>
    <w:rsid w:val="00317DF7"/>
    <w:rsid w:val="003215FB"/>
    <w:rsid w:val="00327842"/>
    <w:rsid w:val="0033334D"/>
    <w:rsid w:val="00333553"/>
    <w:rsid w:val="00334560"/>
    <w:rsid w:val="00337324"/>
    <w:rsid w:val="003448B3"/>
    <w:rsid w:val="00344C77"/>
    <w:rsid w:val="00346A46"/>
    <w:rsid w:val="003515B7"/>
    <w:rsid w:val="00353CA6"/>
    <w:rsid w:val="00355A1C"/>
    <w:rsid w:val="00356902"/>
    <w:rsid w:val="003602A9"/>
    <w:rsid w:val="00367AE5"/>
    <w:rsid w:val="00374061"/>
    <w:rsid w:val="0037665C"/>
    <w:rsid w:val="003852C4"/>
    <w:rsid w:val="00387356"/>
    <w:rsid w:val="00391578"/>
    <w:rsid w:val="0039201D"/>
    <w:rsid w:val="0039283D"/>
    <w:rsid w:val="0039358E"/>
    <w:rsid w:val="003948D3"/>
    <w:rsid w:val="00396046"/>
    <w:rsid w:val="003A49AB"/>
    <w:rsid w:val="003A5032"/>
    <w:rsid w:val="003B1198"/>
    <w:rsid w:val="003B1B17"/>
    <w:rsid w:val="003B1F6F"/>
    <w:rsid w:val="003B4275"/>
    <w:rsid w:val="003B6901"/>
    <w:rsid w:val="003C0E6C"/>
    <w:rsid w:val="003C1586"/>
    <w:rsid w:val="003C1FC0"/>
    <w:rsid w:val="003C46C6"/>
    <w:rsid w:val="003C731F"/>
    <w:rsid w:val="003D08E3"/>
    <w:rsid w:val="003D23D7"/>
    <w:rsid w:val="003D3BFB"/>
    <w:rsid w:val="003D411B"/>
    <w:rsid w:val="003D5AD7"/>
    <w:rsid w:val="003D66F5"/>
    <w:rsid w:val="003E05A7"/>
    <w:rsid w:val="003E1270"/>
    <w:rsid w:val="003E60CB"/>
    <w:rsid w:val="003E63F6"/>
    <w:rsid w:val="003F6822"/>
    <w:rsid w:val="003F7D05"/>
    <w:rsid w:val="0040083C"/>
    <w:rsid w:val="00400E26"/>
    <w:rsid w:val="0041010D"/>
    <w:rsid w:val="00411DE0"/>
    <w:rsid w:val="00417378"/>
    <w:rsid w:val="00417E6A"/>
    <w:rsid w:val="00425973"/>
    <w:rsid w:val="00426092"/>
    <w:rsid w:val="00431DFD"/>
    <w:rsid w:val="004366C6"/>
    <w:rsid w:val="00437DE7"/>
    <w:rsid w:val="00437E0B"/>
    <w:rsid w:val="00440BC9"/>
    <w:rsid w:val="00442544"/>
    <w:rsid w:val="004470A8"/>
    <w:rsid w:val="00450B6D"/>
    <w:rsid w:val="00450D3F"/>
    <w:rsid w:val="00450FF3"/>
    <w:rsid w:val="004548FA"/>
    <w:rsid w:val="00462B03"/>
    <w:rsid w:val="004638B2"/>
    <w:rsid w:val="00467B7C"/>
    <w:rsid w:val="004705E8"/>
    <w:rsid w:val="004718DC"/>
    <w:rsid w:val="00477B7F"/>
    <w:rsid w:val="00480667"/>
    <w:rsid w:val="00484343"/>
    <w:rsid w:val="0048467E"/>
    <w:rsid w:val="00484A6D"/>
    <w:rsid w:val="0049057A"/>
    <w:rsid w:val="00490C58"/>
    <w:rsid w:val="00491A46"/>
    <w:rsid w:val="00491AAD"/>
    <w:rsid w:val="004A0C1D"/>
    <w:rsid w:val="004A12E5"/>
    <w:rsid w:val="004A2113"/>
    <w:rsid w:val="004A29C6"/>
    <w:rsid w:val="004A41E4"/>
    <w:rsid w:val="004A65D5"/>
    <w:rsid w:val="004A6960"/>
    <w:rsid w:val="004A6C97"/>
    <w:rsid w:val="004B6737"/>
    <w:rsid w:val="004B7A2C"/>
    <w:rsid w:val="004C74A7"/>
    <w:rsid w:val="004D1AF7"/>
    <w:rsid w:val="004D3D76"/>
    <w:rsid w:val="004D7947"/>
    <w:rsid w:val="004E0E9E"/>
    <w:rsid w:val="004E11C8"/>
    <w:rsid w:val="004E2BA9"/>
    <w:rsid w:val="004F5EE7"/>
    <w:rsid w:val="004F76DC"/>
    <w:rsid w:val="00503EAE"/>
    <w:rsid w:val="00504349"/>
    <w:rsid w:val="00505211"/>
    <w:rsid w:val="00507203"/>
    <w:rsid w:val="0050731E"/>
    <w:rsid w:val="00507E5B"/>
    <w:rsid w:val="005143F9"/>
    <w:rsid w:val="00514C5B"/>
    <w:rsid w:val="005152F1"/>
    <w:rsid w:val="005169ED"/>
    <w:rsid w:val="00516AC0"/>
    <w:rsid w:val="00520117"/>
    <w:rsid w:val="0052164F"/>
    <w:rsid w:val="00522DAD"/>
    <w:rsid w:val="0052363C"/>
    <w:rsid w:val="00523D5C"/>
    <w:rsid w:val="00531595"/>
    <w:rsid w:val="005374FE"/>
    <w:rsid w:val="005405A3"/>
    <w:rsid w:val="00540C7E"/>
    <w:rsid w:val="005536EC"/>
    <w:rsid w:val="00555746"/>
    <w:rsid w:val="00557335"/>
    <w:rsid w:val="00557A09"/>
    <w:rsid w:val="00561D7E"/>
    <w:rsid w:val="005635F2"/>
    <w:rsid w:val="005649B6"/>
    <w:rsid w:val="00566DA3"/>
    <w:rsid w:val="005674A0"/>
    <w:rsid w:val="00571351"/>
    <w:rsid w:val="00572EB6"/>
    <w:rsid w:val="00580F45"/>
    <w:rsid w:val="00585929"/>
    <w:rsid w:val="00586ADA"/>
    <w:rsid w:val="00587220"/>
    <w:rsid w:val="00587644"/>
    <w:rsid w:val="005902FB"/>
    <w:rsid w:val="005925CB"/>
    <w:rsid w:val="00594018"/>
    <w:rsid w:val="0059648E"/>
    <w:rsid w:val="005A3A87"/>
    <w:rsid w:val="005B2C07"/>
    <w:rsid w:val="005B53C8"/>
    <w:rsid w:val="005B6BE3"/>
    <w:rsid w:val="005B77B4"/>
    <w:rsid w:val="005C08D9"/>
    <w:rsid w:val="005C64C8"/>
    <w:rsid w:val="005D01CE"/>
    <w:rsid w:val="005D1C2C"/>
    <w:rsid w:val="005D4309"/>
    <w:rsid w:val="005D459A"/>
    <w:rsid w:val="005E0C34"/>
    <w:rsid w:val="005E15A0"/>
    <w:rsid w:val="005E2F92"/>
    <w:rsid w:val="005E33B9"/>
    <w:rsid w:val="005E4632"/>
    <w:rsid w:val="005E75DF"/>
    <w:rsid w:val="005F0C11"/>
    <w:rsid w:val="005F10FC"/>
    <w:rsid w:val="005F19D2"/>
    <w:rsid w:val="005F1E3C"/>
    <w:rsid w:val="005F329F"/>
    <w:rsid w:val="005F4FD1"/>
    <w:rsid w:val="0061064F"/>
    <w:rsid w:val="00612786"/>
    <w:rsid w:val="006142D7"/>
    <w:rsid w:val="0062134D"/>
    <w:rsid w:val="00623347"/>
    <w:rsid w:val="006251DE"/>
    <w:rsid w:val="00625231"/>
    <w:rsid w:val="006258FD"/>
    <w:rsid w:val="006414E1"/>
    <w:rsid w:val="00642674"/>
    <w:rsid w:val="00647A6C"/>
    <w:rsid w:val="006502C9"/>
    <w:rsid w:val="00650CDA"/>
    <w:rsid w:val="00651A02"/>
    <w:rsid w:val="0065795B"/>
    <w:rsid w:val="00662720"/>
    <w:rsid w:val="00663F31"/>
    <w:rsid w:val="00671408"/>
    <w:rsid w:val="0067292D"/>
    <w:rsid w:val="00676468"/>
    <w:rsid w:val="00676FAE"/>
    <w:rsid w:val="006826DE"/>
    <w:rsid w:val="006871E3"/>
    <w:rsid w:val="00690938"/>
    <w:rsid w:val="00693A39"/>
    <w:rsid w:val="00697E75"/>
    <w:rsid w:val="006A05E2"/>
    <w:rsid w:val="006A252A"/>
    <w:rsid w:val="006A29E0"/>
    <w:rsid w:val="006A3AFD"/>
    <w:rsid w:val="006A4E87"/>
    <w:rsid w:val="006B00E7"/>
    <w:rsid w:val="006B380E"/>
    <w:rsid w:val="006B5290"/>
    <w:rsid w:val="006B77E5"/>
    <w:rsid w:val="006C1DE3"/>
    <w:rsid w:val="006C287D"/>
    <w:rsid w:val="006C2C39"/>
    <w:rsid w:val="006C5FEB"/>
    <w:rsid w:val="006D2520"/>
    <w:rsid w:val="006D3E93"/>
    <w:rsid w:val="006D7A7D"/>
    <w:rsid w:val="006E0853"/>
    <w:rsid w:val="006E0DA2"/>
    <w:rsid w:val="006E1BAC"/>
    <w:rsid w:val="006E1E4A"/>
    <w:rsid w:val="006F4BB7"/>
    <w:rsid w:val="006F53A2"/>
    <w:rsid w:val="00703E02"/>
    <w:rsid w:val="00704876"/>
    <w:rsid w:val="007074DD"/>
    <w:rsid w:val="00707BF9"/>
    <w:rsid w:val="00707C36"/>
    <w:rsid w:val="007107D6"/>
    <w:rsid w:val="00710928"/>
    <w:rsid w:val="007176BE"/>
    <w:rsid w:val="00721C8E"/>
    <w:rsid w:val="00721D47"/>
    <w:rsid w:val="007226BF"/>
    <w:rsid w:val="00723079"/>
    <w:rsid w:val="0072572C"/>
    <w:rsid w:val="00735CEE"/>
    <w:rsid w:val="007373F8"/>
    <w:rsid w:val="0073760A"/>
    <w:rsid w:val="00737638"/>
    <w:rsid w:val="00746C70"/>
    <w:rsid w:val="00753B11"/>
    <w:rsid w:val="0076043A"/>
    <w:rsid w:val="0076146F"/>
    <w:rsid w:val="00763C62"/>
    <w:rsid w:val="00764106"/>
    <w:rsid w:val="007649C1"/>
    <w:rsid w:val="00766D06"/>
    <w:rsid w:val="00772655"/>
    <w:rsid w:val="00773B0D"/>
    <w:rsid w:val="00774901"/>
    <w:rsid w:val="00774BE0"/>
    <w:rsid w:val="007814E4"/>
    <w:rsid w:val="00790170"/>
    <w:rsid w:val="00791D72"/>
    <w:rsid w:val="0079354D"/>
    <w:rsid w:val="00793962"/>
    <w:rsid w:val="0079497A"/>
    <w:rsid w:val="0079704E"/>
    <w:rsid w:val="007A174C"/>
    <w:rsid w:val="007A5473"/>
    <w:rsid w:val="007A5579"/>
    <w:rsid w:val="007B3ADC"/>
    <w:rsid w:val="007B59FF"/>
    <w:rsid w:val="007C59F1"/>
    <w:rsid w:val="007C6E06"/>
    <w:rsid w:val="007C7E89"/>
    <w:rsid w:val="007D0185"/>
    <w:rsid w:val="007D3DB0"/>
    <w:rsid w:val="007D54AB"/>
    <w:rsid w:val="007E08D0"/>
    <w:rsid w:val="007E0B3F"/>
    <w:rsid w:val="007E10FE"/>
    <w:rsid w:val="007E1D51"/>
    <w:rsid w:val="007E3730"/>
    <w:rsid w:val="007E4A1C"/>
    <w:rsid w:val="007E5820"/>
    <w:rsid w:val="007E5F20"/>
    <w:rsid w:val="007E736F"/>
    <w:rsid w:val="007F1B9B"/>
    <w:rsid w:val="007F307B"/>
    <w:rsid w:val="007F3105"/>
    <w:rsid w:val="007F3568"/>
    <w:rsid w:val="007F6D6D"/>
    <w:rsid w:val="008005BD"/>
    <w:rsid w:val="00800E29"/>
    <w:rsid w:val="00803C05"/>
    <w:rsid w:val="00803ECB"/>
    <w:rsid w:val="00810DEA"/>
    <w:rsid w:val="008168AD"/>
    <w:rsid w:val="00821100"/>
    <w:rsid w:val="008227DC"/>
    <w:rsid w:val="008235EB"/>
    <w:rsid w:val="00825697"/>
    <w:rsid w:val="0083136A"/>
    <w:rsid w:val="0083485F"/>
    <w:rsid w:val="00835289"/>
    <w:rsid w:val="00835F39"/>
    <w:rsid w:val="0083720A"/>
    <w:rsid w:val="008418C1"/>
    <w:rsid w:val="008450A1"/>
    <w:rsid w:val="0085013F"/>
    <w:rsid w:val="00851B6B"/>
    <w:rsid w:val="00853C5C"/>
    <w:rsid w:val="00855AEF"/>
    <w:rsid w:val="008570DC"/>
    <w:rsid w:val="00857D11"/>
    <w:rsid w:val="008744BC"/>
    <w:rsid w:val="00875CD8"/>
    <w:rsid w:val="008803AB"/>
    <w:rsid w:val="00885DDE"/>
    <w:rsid w:val="008931D6"/>
    <w:rsid w:val="00896061"/>
    <w:rsid w:val="00896F78"/>
    <w:rsid w:val="008A14BE"/>
    <w:rsid w:val="008A6D33"/>
    <w:rsid w:val="008A7125"/>
    <w:rsid w:val="008A7402"/>
    <w:rsid w:val="008A7557"/>
    <w:rsid w:val="008B2B1B"/>
    <w:rsid w:val="008B4A0F"/>
    <w:rsid w:val="008B5C71"/>
    <w:rsid w:val="008B7439"/>
    <w:rsid w:val="008C0736"/>
    <w:rsid w:val="008C6821"/>
    <w:rsid w:val="008C6982"/>
    <w:rsid w:val="008C71B9"/>
    <w:rsid w:val="008D129B"/>
    <w:rsid w:val="008D4087"/>
    <w:rsid w:val="008D7DAB"/>
    <w:rsid w:val="008E241D"/>
    <w:rsid w:val="008E3810"/>
    <w:rsid w:val="008E53F1"/>
    <w:rsid w:val="008F1410"/>
    <w:rsid w:val="008F24DC"/>
    <w:rsid w:val="008F28C7"/>
    <w:rsid w:val="008F2ACC"/>
    <w:rsid w:val="008F3B33"/>
    <w:rsid w:val="008F6142"/>
    <w:rsid w:val="008F6915"/>
    <w:rsid w:val="00900E9E"/>
    <w:rsid w:val="00901100"/>
    <w:rsid w:val="009168DA"/>
    <w:rsid w:val="009178F9"/>
    <w:rsid w:val="00917980"/>
    <w:rsid w:val="0092633D"/>
    <w:rsid w:val="009268EA"/>
    <w:rsid w:val="00926A5E"/>
    <w:rsid w:val="009319FA"/>
    <w:rsid w:val="009331D6"/>
    <w:rsid w:val="009368AE"/>
    <w:rsid w:val="00936A0A"/>
    <w:rsid w:val="009424C4"/>
    <w:rsid w:val="00946584"/>
    <w:rsid w:val="00946E84"/>
    <w:rsid w:val="009473B4"/>
    <w:rsid w:val="00951C1F"/>
    <w:rsid w:val="0096075D"/>
    <w:rsid w:val="00966DE4"/>
    <w:rsid w:val="0096781B"/>
    <w:rsid w:val="0097277F"/>
    <w:rsid w:val="00974FAE"/>
    <w:rsid w:val="00975422"/>
    <w:rsid w:val="00986141"/>
    <w:rsid w:val="009866DA"/>
    <w:rsid w:val="00990222"/>
    <w:rsid w:val="00990CE8"/>
    <w:rsid w:val="0099415E"/>
    <w:rsid w:val="00994B6F"/>
    <w:rsid w:val="009A0EB7"/>
    <w:rsid w:val="009A2741"/>
    <w:rsid w:val="009A30B1"/>
    <w:rsid w:val="009A37EB"/>
    <w:rsid w:val="009A5617"/>
    <w:rsid w:val="009A5B64"/>
    <w:rsid w:val="009B0965"/>
    <w:rsid w:val="009B1D0F"/>
    <w:rsid w:val="009B3925"/>
    <w:rsid w:val="009B3FB4"/>
    <w:rsid w:val="009B4974"/>
    <w:rsid w:val="009B7DAF"/>
    <w:rsid w:val="009C0029"/>
    <w:rsid w:val="009C2CDD"/>
    <w:rsid w:val="009C4C18"/>
    <w:rsid w:val="009C6DCB"/>
    <w:rsid w:val="009D18C2"/>
    <w:rsid w:val="009D1B03"/>
    <w:rsid w:val="009D47EB"/>
    <w:rsid w:val="009D5B46"/>
    <w:rsid w:val="009D6084"/>
    <w:rsid w:val="009E0594"/>
    <w:rsid w:val="009E06C1"/>
    <w:rsid w:val="009E40D7"/>
    <w:rsid w:val="009F5CB0"/>
    <w:rsid w:val="009F638B"/>
    <w:rsid w:val="00A00414"/>
    <w:rsid w:val="00A03948"/>
    <w:rsid w:val="00A05374"/>
    <w:rsid w:val="00A05723"/>
    <w:rsid w:val="00A0651D"/>
    <w:rsid w:val="00A13068"/>
    <w:rsid w:val="00A13C0F"/>
    <w:rsid w:val="00A14AB7"/>
    <w:rsid w:val="00A15264"/>
    <w:rsid w:val="00A2055C"/>
    <w:rsid w:val="00A30515"/>
    <w:rsid w:val="00A32948"/>
    <w:rsid w:val="00A35BC8"/>
    <w:rsid w:val="00A421A8"/>
    <w:rsid w:val="00A438AF"/>
    <w:rsid w:val="00A45C0B"/>
    <w:rsid w:val="00A50ADD"/>
    <w:rsid w:val="00A549AE"/>
    <w:rsid w:val="00A6782C"/>
    <w:rsid w:val="00A70D00"/>
    <w:rsid w:val="00A71309"/>
    <w:rsid w:val="00A732A6"/>
    <w:rsid w:val="00A7412B"/>
    <w:rsid w:val="00A755F5"/>
    <w:rsid w:val="00A83218"/>
    <w:rsid w:val="00A83269"/>
    <w:rsid w:val="00A859AA"/>
    <w:rsid w:val="00A86CD6"/>
    <w:rsid w:val="00A870EA"/>
    <w:rsid w:val="00AA60D0"/>
    <w:rsid w:val="00AC2DF3"/>
    <w:rsid w:val="00AC315A"/>
    <w:rsid w:val="00AC490E"/>
    <w:rsid w:val="00AC65B4"/>
    <w:rsid w:val="00AD236D"/>
    <w:rsid w:val="00AD7221"/>
    <w:rsid w:val="00AE171C"/>
    <w:rsid w:val="00AE2DF4"/>
    <w:rsid w:val="00AE6503"/>
    <w:rsid w:val="00AF08CD"/>
    <w:rsid w:val="00AF37A2"/>
    <w:rsid w:val="00AF5CB4"/>
    <w:rsid w:val="00AF683B"/>
    <w:rsid w:val="00B0202E"/>
    <w:rsid w:val="00B022AB"/>
    <w:rsid w:val="00B05D90"/>
    <w:rsid w:val="00B0603F"/>
    <w:rsid w:val="00B0699E"/>
    <w:rsid w:val="00B142D5"/>
    <w:rsid w:val="00B151B7"/>
    <w:rsid w:val="00B17397"/>
    <w:rsid w:val="00B24266"/>
    <w:rsid w:val="00B251B7"/>
    <w:rsid w:val="00B30CEF"/>
    <w:rsid w:val="00B31E63"/>
    <w:rsid w:val="00B500CA"/>
    <w:rsid w:val="00B54217"/>
    <w:rsid w:val="00B5558C"/>
    <w:rsid w:val="00B62044"/>
    <w:rsid w:val="00B6331D"/>
    <w:rsid w:val="00B64766"/>
    <w:rsid w:val="00B7128C"/>
    <w:rsid w:val="00B72CEE"/>
    <w:rsid w:val="00B76AED"/>
    <w:rsid w:val="00B8164B"/>
    <w:rsid w:val="00B8295B"/>
    <w:rsid w:val="00B867D4"/>
    <w:rsid w:val="00B92514"/>
    <w:rsid w:val="00BA14AA"/>
    <w:rsid w:val="00BA33D8"/>
    <w:rsid w:val="00BA47C6"/>
    <w:rsid w:val="00BB02DD"/>
    <w:rsid w:val="00BB26E3"/>
    <w:rsid w:val="00BC633C"/>
    <w:rsid w:val="00BD067F"/>
    <w:rsid w:val="00BD0C43"/>
    <w:rsid w:val="00BD297D"/>
    <w:rsid w:val="00BD63EC"/>
    <w:rsid w:val="00BD76C6"/>
    <w:rsid w:val="00BE22F5"/>
    <w:rsid w:val="00BE63D2"/>
    <w:rsid w:val="00BF04E6"/>
    <w:rsid w:val="00BF0BE4"/>
    <w:rsid w:val="00BF1EBF"/>
    <w:rsid w:val="00BF2715"/>
    <w:rsid w:val="00BF6039"/>
    <w:rsid w:val="00C04259"/>
    <w:rsid w:val="00C04DA8"/>
    <w:rsid w:val="00C05CBA"/>
    <w:rsid w:val="00C07D1E"/>
    <w:rsid w:val="00C07F05"/>
    <w:rsid w:val="00C105A3"/>
    <w:rsid w:val="00C10BE1"/>
    <w:rsid w:val="00C11A3E"/>
    <w:rsid w:val="00C14A3A"/>
    <w:rsid w:val="00C16208"/>
    <w:rsid w:val="00C174E3"/>
    <w:rsid w:val="00C20CB2"/>
    <w:rsid w:val="00C229F6"/>
    <w:rsid w:val="00C23958"/>
    <w:rsid w:val="00C26F87"/>
    <w:rsid w:val="00C379FA"/>
    <w:rsid w:val="00C40754"/>
    <w:rsid w:val="00C42F56"/>
    <w:rsid w:val="00C4370C"/>
    <w:rsid w:val="00C46B26"/>
    <w:rsid w:val="00C619F0"/>
    <w:rsid w:val="00C646E5"/>
    <w:rsid w:val="00C651CF"/>
    <w:rsid w:val="00C657C0"/>
    <w:rsid w:val="00C65B20"/>
    <w:rsid w:val="00C75D00"/>
    <w:rsid w:val="00C82887"/>
    <w:rsid w:val="00C840F6"/>
    <w:rsid w:val="00C855AC"/>
    <w:rsid w:val="00C8598E"/>
    <w:rsid w:val="00C860F8"/>
    <w:rsid w:val="00C91264"/>
    <w:rsid w:val="00C913AF"/>
    <w:rsid w:val="00C91DBE"/>
    <w:rsid w:val="00C9234F"/>
    <w:rsid w:val="00C93A51"/>
    <w:rsid w:val="00C94851"/>
    <w:rsid w:val="00C95612"/>
    <w:rsid w:val="00C95F24"/>
    <w:rsid w:val="00C96C8B"/>
    <w:rsid w:val="00C96FB2"/>
    <w:rsid w:val="00C97850"/>
    <w:rsid w:val="00CA2773"/>
    <w:rsid w:val="00CB77B1"/>
    <w:rsid w:val="00CC0B8F"/>
    <w:rsid w:val="00CC26A1"/>
    <w:rsid w:val="00CC3EF2"/>
    <w:rsid w:val="00CC400F"/>
    <w:rsid w:val="00CC6BD2"/>
    <w:rsid w:val="00CD102D"/>
    <w:rsid w:val="00CD1E37"/>
    <w:rsid w:val="00CD26EA"/>
    <w:rsid w:val="00CD40EC"/>
    <w:rsid w:val="00CE18FD"/>
    <w:rsid w:val="00CE3781"/>
    <w:rsid w:val="00CF03E7"/>
    <w:rsid w:val="00CF2227"/>
    <w:rsid w:val="00CF4371"/>
    <w:rsid w:val="00CF4959"/>
    <w:rsid w:val="00CF50A6"/>
    <w:rsid w:val="00D1176D"/>
    <w:rsid w:val="00D12EB9"/>
    <w:rsid w:val="00D168B0"/>
    <w:rsid w:val="00D17FF1"/>
    <w:rsid w:val="00D26129"/>
    <w:rsid w:val="00D26D64"/>
    <w:rsid w:val="00D41B2B"/>
    <w:rsid w:val="00D41D34"/>
    <w:rsid w:val="00D45B09"/>
    <w:rsid w:val="00D5162C"/>
    <w:rsid w:val="00D54154"/>
    <w:rsid w:val="00D5438D"/>
    <w:rsid w:val="00D573AA"/>
    <w:rsid w:val="00D578FB"/>
    <w:rsid w:val="00D57E37"/>
    <w:rsid w:val="00D656E8"/>
    <w:rsid w:val="00D65F4A"/>
    <w:rsid w:val="00D73DC3"/>
    <w:rsid w:val="00D74E5F"/>
    <w:rsid w:val="00D8106F"/>
    <w:rsid w:val="00D8195C"/>
    <w:rsid w:val="00D8344A"/>
    <w:rsid w:val="00D873EA"/>
    <w:rsid w:val="00D87855"/>
    <w:rsid w:val="00D955A4"/>
    <w:rsid w:val="00DA0F1A"/>
    <w:rsid w:val="00DA23D4"/>
    <w:rsid w:val="00DA5945"/>
    <w:rsid w:val="00DB222A"/>
    <w:rsid w:val="00DB2C78"/>
    <w:rsid w:val="00DB3BFE"/>
    <w:rsid w:val="00DB531E"/>
    <w:rsid w:val="00DD1778"/>
    <w:rsid w:val="00DD206A"/>
    <w:rsid w:val="00DD3B07"/>
    <w:rsid w:val="00DD3F35"/>
    <w:rsid w:val="00DD4C41"/>
    <w:rsid w:val="00DD5DD0"/>
    <w:rsid w:val="00DE2A96"/>
    <w:rsid w:val="00DE41AC"/>
    <w:rsid w:val="00DE4E1F"/>
    <w:rsid w:val="00DE70E2"/>
    <w:rsid w:val="00DE7880"/>
    <w:rsid w:val="00DF0985"/>
    <w:rsid w:val="00DF13E3"/>
    <w:rsid w:val="00DF2491"/>
    <w:rsid w:val="00DF5AD5"/>
    <w:rsid w:val="00DF621A"/>
    <w:rsid w:val="00E0172B"/>
    <w:rsid w:val="00E04D33"/>
    <w:rsid w:val="00E04DD7"/>
    <w:rsid w:val="00E06B03"/>
    <w:rsid w:val="00E10EFC"/>
    <w:rsid w:val="00E125D3"/>
    <w:rsid w:val="00E13E7C"/>
    <w:rsid w:val="00E160F6"/>
    <w:rsid w:val="00E3278D"/>
    <w:rsid w:val="00E34694"/>
    <w:rsid w:val="00E350AF"/>
    <w:rsid w:val="00E37DEF"/>
    <w:rsid w:val="00E40226"/>
    <w:rsid w:val="00E43CB6"/>
    <w:rsid w:val="00E44C68"/>
    <w:rsid w:val="00E46889"/>
    <w:rsid w:val="00E472CA"/>
    <w:rsid w:val="00E51CD3"/>
    <w:rsid w:val="00E5609F"/>
    <w:rsid w:val="00E60A5C"/>
    <w:rsid w:val="00E62B31"/>
    <w:rsid w:val="00E63059"/>
    <w:rsid w:val="00E6305A"/>
    <w:rsid w:val="00E730B8"/>
    <w:rsid w:val="00E75912"/>
    <w:rsid w:val="00E773B3"/>
    <w:rsid w:val="00E80C52"/>
    <w:rsid w:val="00E81FEC"/>
    <w:rsid w:val="00E849EA"/>
    <w:rsid w:val="00E8695D"/>
    <w:rsid w:val="00E90627"/>
    <w:rsid w:val="00E96506"/>
    <w:rsid w:val="00EA042E"/>
    <w:rsid w:val="00EA06EC"/>
    <w:rsid w:val="00EA12FA"/>
    <w:rsid w:val="00EA3486"/>
    <w:rsid w:val="00EA776B"/>
    <w:rsid w:val="00EB37CE"/>
    <w:rsid w:val="00EB4F44"/>
    <w:rsid w:val="00EB5891"/>
    <w:rsid w:val="00EB5EF1"/>
    <w:rsid w:val="00EB6B4B"/>
    <w:rsid w:val="00EC2FF1"/>
    <w:rsid w:val="00ED3861"/>
    <w:rsid w:val="00ED441F"/>
    <w:rsid w:val="00ED696B"/>
    <w:rsid w:val="00ED723E"/>
    <w:rsid w:val="00EE1253"/>
    <w:rsid w:val="00EE1823"/>
    <w:rsid w:val="00EE1B3F"/>
    <w:rsid w:val="00EF0364"/>
    <w:rsid w:val="00EF1998"/>
    <w:rsid w:val="00EF1A86"/>
    <w:rsid w:val="00EF292B"/>
    <w:rsid w:val="00EF2AF3"/>
    <w:rsid w:val="00EF2E69"/>
    <w:rsid w:val="00F01C12"/>
    <w:rsid w:val="00F055F2"/>
    <w:rsid w:val="00F074A6"/>
    <w:rsid w:val="00F11328"/>
    <w:rsid w:val="00F11D12"/>
    <w:rsid w:val="00F13EBA"/>
    <w:rsid w:val="00F1415B"/>
    <w:rsid w:val="00F15DFF"/>
    <w:rsid w:val="00F16483"/>
    <w:rsid w:val="00F16F8B"/>
    <w:rsid w:val="00F21109"/>
    <w:rsid w:val="00F31B14"/>
    <w:rsid w:val="00F32935"/>
    <w:rsid w:val="00F329F6"/>
    <w:rsid w:val="00F40F9A"/>
    <w:rsid w:val="00F4223E"/>
    <w:rsid w:val="00F4357F"/>
    <w:rsid w:val="00F43FD9"/>
    <w:rsid w:val="00F4400B"/>
    <w:rsid w:val="00F500B1"/>
    <w:rsid w:val="00F509F2"/>
    <w:rsid w:val="00F5156F"/>
    <w:rsid w:val="00F515B7"/>
    <w:rsid w:val="00F62CFF"/>
    <w:rsid w:val="00F630BC"/>
    <w:rsid w:val="00F63CA7"/>
    <w:rsid w:val="00F64E3C"/>
    <w:rsid w:val="00F65580"/>
    <w:rsid w:val="00F655FF"/>
    <w:rsid w:val="00F65F4F"/>
    <w:rsid w:val="00F71834"/>
    <w:rsid w:val="00F7280D"/>
    <w:rsid w:val="00F746E5"/>
    <w:rsid w:val="00F7653B"/>
    <w:rsid w:val="00F80643"/>
    <w:rsid w:val="00F82FB7"/>
    <w:rsid w:val="00F843B2"/>
    <w:rsid w:val="00F90033"/>
    <w:rsid w:val="00F92B41"/>
    <w:rsid w:val="00F95D83"/>
    <w:rsid w:val="00FA03C3"/>
    <w:rsid w:val="00FA14AB"/>
    <w:rsid w:val="00FB1E0F"/>
    <w:rsid w:val="00FB310C"/>
    <w:rsid w:val="00FB47A3"/>
    <w:rsid w:val="00FB5CB9"/>
    <w:rsid w:val="00FC0D66"/>
    <w:rsid w:val="00FC1E90"/>
    <w:rsid w:val="00FC436C"/>
    <w:rsid w:val="00FD12F9"/>
    <w:rsid w:val="00FD3D57"/>
    <w:rsid w:val="00FD466B"/>
    <w:rsid w:val="00FD54DB"/>
    <w:rsid w:val="00FD56F7"/>
    <w:rsid w:val="00FE2A5D"/>
    <w:rsid w:val="00FE46F8"/>
    <w:rsid w:val="00FE5496"/>
    <w:rsid w:val="00FF4504"/>
    <w:rsid w:val="00FF6CD7"/>
    <w:rsid w:val="01287ECD"/>
    <w:rsid w:val="014B308F"/>
    <w:rsid w:val="016C2F3C"/>
    <w:rsid w:val="02250EFC"/>
    <w:rsid w:val="02FC31D1"/>
    <w:rsid w:val="03053FAB"/>
    <w:rsid w:val="03CC656D"/>
    <w:rsid w:val="044A1CD3"/>
    <w:rsid w:val="047F6411"/>
    <w:rsid w:val="060A47A8"/>
    <w:rsid w:val="0665076A"/>
    <w:rsid w:val="06B05D82"/>
    <w:rsid w:val="06B275D4"/>
    <w:rsid w:val="086C6AA6"/>
    <w:rsid w:val="08B86056"/>
    <w:rsid w:val="09FD5367"/>
    <w:rsid w:val="0A794667"/>
    <w:rsid w:val="0C0C68EF"/>
    <w:rsid w:val="0CA44AAF"/>
    <w:rsid w:val="0D387C9B"/>
    <w:rsid w:val="0D7C5AB2"/>
    <w:rsid w:val="0DFD07CC"/>
    <w:rsid w:val="0E070BB1"/>
    <w:rsid w:val="0E416E8D"/>
    <w:rsid w:val="0E7B2823"/>
    <w:rsid w:val="0EDB635E"/>
    <w:rsid w:val="0FD3668F"/>
    <w:rsid w:val="100F506E"/>
    <w:rsid w:val="101C7E7E"/>
    <w:rsid w:val="102239F2"/>
    <w:rsid w:val="106645B9"/>
    <w:rsid w:val="11273835"/>
    <w:rsid w:val="120D7991"/>
    <w:rsid w:val="12726ED9"/>
    <w:rsid w:val="127405EC"/>
    <w:rsid w:val="12D857BC"/>
    <w:rsid w:val="14082BE5"/>
    <w:rsid w:val="14D64C58"/>
    <w:rsid w:val="15432FF0"/>
    <w:rsid w:val="157D6A6D"/>
    <w:rsid w:val="16231F27"/>
    <w:rsid w:val="16A76901"/>
    <w:rsid w:val="16EE3B58"/>
    <w:rsid w:val="17076CA9"/>
    <w:rsid w:val="17D05A70"/>
    <w:rsid w:val="18583707"/>
    <w:rsid w:val="18A23BE0"/>
    <w:rsid w:val="191B7132"/>
    <w:rsid w:val="199C38C7"/>
    <w:rsid w:val="1A0F0C21"/>
    <w:rsid w:val="1AEB1208"/>
    <w:rsid w:val="1AF215D6"/>
    <w:rsid w:val="1B3C4A90"/>
    <w:rsid w:val="1B74131E"/>
    <w:rsid w:val="1BAB259B"/>
    <w:rsid w:val="1C1C4E6A"/>
    <w:rsid w:val="1C4E0044"/>
    <w:rsid w:val="1D02176B"/>
    <w:rsid w:val="1D0B577E"/>
    <w:rsid w:val="1D1C22D8"/>
    <w:rsid w:val="1D2D1432"/>
    <w:rsid w:val="1D633899"/>
    <w:rsid w:val="1E805C34"/>
    <w:rsid w:val="1EE71C56"/>
    <w:rsid w:val="210668C5"/>
    <w:rsid w:val="2180624F"/>
    <w:rsid w:val="21CB54CD"/>
    <w:rsid w:val="22A31EF1"/>
    <w:rsid w:val="234E595C"/>
    <w:rsid w:val="236B022A"/>
    <w:rsid w:val="251E15E9"/>
    <w:rsid w:val="255C0BE7"/>
    <w:rsid w:val="25D110CA"/>
    <w:rsid w:val="261070A5"/>
    <w:rsid w:val="270E3755"/>
    <w:rsid w:val="286C4012"/>
    <w:rsid w:val="28C9603D"/>
    <w:rsid w:val="28CA40A0"/>
    <w:rsid w:val="28F23C50"/>
    <w:rsid w:val="291050EE"/>
    <w:rsid w:val="296070C1"/>
    <w:rsid w:val="29B41E53"/>
    <w:rsid w:val="2AEA1E25"/>
    <w:rsid w:val="2B463EF4"/>
    <w:rsid w:val="2CF14AAA"/>
    <w:rsid w:val="2D1F0EC1"/>
    <w:rsid w:val="2E955A9D"/>
    <w:rsid w:val="2EC45ED2"/>
    <w:rsid w:val="2FB92659"/>
    <w:rsid w:val="2FEB381E"/>
    <w:rsid w:val="302F344D"/>
    <w:rsid w:val="30E553A4"/>
    <w:rsid w:val="30F73DC1"/>
    <w:rsid w:val="31164EE4"/>
    <w:rsid w:val="321C3976"/>
    <w:rsid w:val="327B48BC"/>
    <w:rsid w:val="33F22ACC"/>
    <w:rsid w:val="3508057A"/>
    <w:rsid w:val="35325B6D"/>
    <w:rsid w:val="35CB37E1"/>
    <w:rsid w:val="37067454"/>
    <w:rsid w:val="37335959"/>
    <w:rsid w:val="39355133"/>
    <w:rsid w:val="39650DD8"/>
    <w:rsid w:val="397758F1"/>
    <w:rsid w:val="39A75CCC"/>
    <w:rsid w:val="39FF5771"/>
    <w:rsid w:val="3AA7192A"/>
    <w:rsid w:val="3AF04CFB"/>
    <w:rsid w:val="3B21725E"/>
    <w:rsid w:val="3B5A5844"/>
    <w:rsid w:val="3B7E44F9"/>
    <w:rsid w:val="3B7F6BF4"/>
    <w:rsid w:val="3B8764B5"/>
    <w:rsid w:val="3BDA5FE2"/>
    <w:rsid w:val="3D876102"/>
    <w:rsid w:val="3DFA2BBE"/>
    <w:rsid w:val="3E8D1D9A"/>
    <w:rsid w:val="3F607CD9"/>
    <w:rsid w:val="3FA0003D"/>
    <w:rsid w:val="3FA32539"/>
    <w:rsid w:val="3FD8284D"/>
    <w:rsid w:val="40B11399"/>
    <w:rsid w:val="40F77D3F"/>
    <w:rsid w:val="41C76309"/>
    <w:rsid w:val="41DF489C"/>
    <w:rsid w:val="441D16AC"/>
    <w:rsid w:val="445104BA"/>
    <w:rsid w:val="45F973BF"/>
    <w:rsid w:val="45FE72BB"/>
    <w:rsid w:val="46054AED"/>
    <w:rsid w:val="47150EAC"/>
    <w:rsid w:val="47591C13"/>
    <w:rsid w:val="47AC1C02"/>
    <w:rsid w:val="48E1714C"/>
    <w:rsid w:val="48ED211E"/>
    <w:rsid w:val="490B5F77"/>
    <w:rsid w:val="495A28A0"/>
    <w:rsid w:val="495C6E11"/>
    <w:rsid w:val="498A6BDA"/>
    <w:rsid w:val="49C425C9"/>
    <w:rsid w:val="4AEC7439"/>
    <w:rsid w:val="4B47593A"/>
    <w:rsid w:val="4D035851"/>
    <w:rsid w:val="4D410CA2"/>
    <w:rsid w:val="4D6441CF"/>
    <w:rsid w:val="4D8D060F"/>
    <w:rsid w:val="4F2F0A6D"/>
    <w:rsid w:val="4F440FC4"/>
    <w:rsid w:val="50C04E46"/>
    <w:rsid w:val="514F460F"/>
    <w:rsid w:val="51513783"/>
    <w:rsid w:val="518B71CB"/>
    <w:rsid w:val="51F36403"/>
    <w:rsid w:val="524C7ACA"/>
    <w:rsid w:val="53A64CDA"/>
    <w:rsid w:val="53CC3390"/>
    <w:rsid w:val="548D4D3E"/>
    <w:rsid w:val="5492704A"/>
    <w:rsid w:val="558B4A7C"/>
    <w:rsid w:val="56725CDF"/>
    <w:rsid w:val="56B20ABD"/>
    <w:rsid w:val="56CA779C"/>
    <w:rsid w:val="56F95ED2"/>
    <w:rsid w:val="57266709"/>
    <w:rsid w:val="576D3A76"/>
    <w:rsid w:val="577C7118"/>
    <w:rsid w:val="579D4B56"/>
    <w:rsid w:val="58D16E92"/>
    <w:rsid w:val="58FB0E8F"/>
    <w:rsid w:val="591C4EBD"/>
    <w:rsid w:val="597D4C6F"/>
    <w:rsid w:val="59F029CC"/>
    <w:rsid w:val="5AA1078A"/>
    <w:rsid w:val="5B2335F4"/>
    <w:rsid w:val="5B8C73EB"/>
    <w:rsid w:val="5B913063"/>
    <w:rsid w:val="5BC86507"/>
    <w:rsid w:val="5C440AC4"/>
    <w:rsid w:val="5D942FB9"/>
    <w:rsid w:val="5E3C5072"/>
    <w:rsid w:val="5EEE57C7"/>
    <w:rsid w:val="5F221E14"/>
    <w:rsid w:val="608C1D25"/>
    <w:rsid w:val="610E05ED"/>
    <w:rsid w:val="615F3E12"/>
    <w:rsid w:val="61B97CCA"/>
    <w:rsid w:val="623C4F9B"/>
    <w:rsid w:val="62E077C0"/>
    <w:rsid w:val="630A561C"/>
    <w:rsid w:val="63175F68"/>
    <w:rsid w:val="631B17FB"/>
    <w:rsid w:val="63A220A6"/>
    <w:rsid w:val="63FE73EE"/>
    <w:rsid w:val="64031037"/>
    <w:rsid w:val="64383A1D"/>
    <w:rsid w:val="6457430E"/>
    <w:rsid w:val="64746C6E"/>
    <w:rsid w:val="648D5F82"/>
    <w:rsid w:val="65384140"/>
    <w:rsid w:val="65540E61"/>
    <w:rsid w:val="66122291"/>
    <w:rsid w:val="666B4AA6"/>
    <w:rsid w:val="66954D96"/>
    <w:rsid w:val="66A01E2A"/>
    <w:rsid w:val="6707165A"/>
    <w:rsid w:val="67FE3F03"/>
    <w:rsid w:val="69B81479"/>
    <w:rsid w:val="6A7A6D6E"/>
    <w:rsid w:val="6A877127"/>
    <w:rsid w:val="6AE40DC4"/>
    <w:rsid w:val="6C403951"/>
    <w:rsid w:val="6C8639E2"/>
    <w:rsid w:val="6D737255"/>
    <w:rsid w:val="6DAE4A0B"/>
    <w:rsid w:val="6DD977C8"/>
    <w:rsid w:val="6E3A1DCA"/>
    <w:rsid w:val="6EE45602"/>
    <w:rsid w:val="6EF87DE5"/>
    <w:rsid w:val="706B71F0"/>
    <w:rsid w:val="712F47EA"/>
    <w:rsid w:val="714754F4"/>
    <w:rsid w:val="71560842"/>
    <w:rsid w:val="72AC6E77"/>
    <w:rsid w:val="72B903E5"/>
    <w:rsid w:val="72B91A24"/>
    <w:rsid w:val="74F104CB"/>
    <w:rsid w:val="75BB01E2"/>
    <w:rsid w:val="76B31878"/>
    <w:rsid w:val="76C77F3A"/>
    <w:rsid w:val="78F148D9"/>
    <w:rsid w:val="78F536B2"/>
    <w:rsid w:val="79205699"/>
    <w:rsid w:val="79616C73"/>
    <w:rsid w:val="798464EA"/>
    <w:rsid w:val="7A21134D"/>
    <w:rsid w:val="7ADB5FE6"/>
    <w:rsid w:val="7B0827B4"/>
    <w:rsid w:val="7BB04844"/>
    <w:rsid w:val="7C0C2403"/>
    <w:rsid w:val="7C107310"/>
    <w:rsid w:val="7C4D5F8D"/>
    <w:rsid w:val="7D7E2564"/>
    <w:rsid w:val="7DB36F46"/>
    <w:rsid w:val="7E331057"/>
    <w:rsid w:val="7E3F7C92"/>
    <w:rsid w:val="7EA81009"/>
    <w:rsid w:val="7F20639F"/>
    <w:rsid w:val="7F800765"/>
    <w:rsid w:val="7F933B62"/>
    <w:rsid w:val="7F9D4E73"/>
    <w:rsid w:val="7FC40F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1"/>
    <w:link w:val="33"/>
    <w:qFormat/>
    <w:uiPriority w:val="0"/>
    <w:pPr>
      <w:keepNext/>
      <w:keepLines/>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7">
    <w:name w:val="heading 4"/>
    <w:basedOn w:val="1"/>
    <w:next w:val="1"/>
    <w:link w:val="35"/>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8">
    <w:name w:val="heading 5"/>
    <w:basedOn w:val="1"/>
    <w:next w:val="1"/>
    <w:link w:val="36"/>
    <w:qFormat/>
    <w:uiPriority w:val="0"/>
    <w:pPr>
      <w:keepNext/>
      <w:keepLine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9">
    <w:name w:val="heading 6"/>
    <w:basedOn w:val="1"/>
    <w:next w:val="1"/>
    <w:link w:val="37"/>
    <w:qFormat/>
    <w:uiPriority w:val="0"/>
    <w:pPr>
      <w:keepNext/>
      <w:keepLine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10">
    <w:name w:val="heading 7"/>
    <w:basedOn w:val="1"/>
    <w:next w:val="1"/>
    <w:link w:val="38"/>
    <w:qFormat/>
    <w:uiPriority w:val="0"/>
    <w:pPr>
      <w:keepNext/>
      <w:keepLine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1">
    <w:name w:val="heading 8"/>
    <w:basedOn w:val="1"/>
    <w:next w:val="1"/>
    <w:link w:val="39"/>
    <w:qFormat/>
    <w:uiPriority w:val="0"/>
    <w:pPr>
      <w:keepNext/>
      <w:keepLine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2">
    <w:name w:val="heading 9"/>
    <w:basedOn w:val="1"/>
    <w:next w:val="1"/>
    <w:link w:val="40"/>
    <w:qFormat/>
    <w:uiPriority w:val="0"/>
    <w:pPr>
      <w:keepNext/>
      <w:keepLine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uppressAutoHyphens w:val="0"/>
      <w:autoSpaceDN/>
      <w:spacing w:after="120" w:afterLines="0" w:line="240" w:lineRule="auto"/>
      <w:ind w:left="420" w:leftChars="200" w:firstLine="420" w:firstLineChars="200"/>
      <w:textAlignment w:val="auto"/>
    </w:pPr>
    <w:rPr>
      <w:kern w:val="2"/>
      <w:sz w:val="21"/>
      <w:szCs w:val="20"/>
    </w:rPr>
  </w:style>
  <w:style w:type="paragraph" w:styleId="3">
    <w:name w:val="Body Text Indent"/>
    <w:basedOn w:val="1"/>
    <w:unhideWhenUsed/>
    <w:qFormat/>
    <w:uiPriority w:val="0"/>
    <w:pPr>
      <w:ind w:left="27" w:hanging="27"/>
      <w:jc w:val="left"/>
    </w:pPr>
    <w:rPr>
      <w:szCs w:val="20"/>
    </w:rPr>
  </w:style>
  <w:style w:type="paragraph" w:styleId="13">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14">
    <w:name w:val="annotation text"/>
    <w:basedOn w:val="1"/>
    <w:link w:val="47"/>
    <w:semiHidden/>
    <w:qFormat/>
    <w:uiPriority w:val="0"/>
    <w:pPr>
      <w:jc w:val="left"/>
    </w:pPr>
    <w:rPr>
      <w:rFonts w:ascii="Times New Roman" w:hAnsi="Times New Roman"/>
      <w:szCs w:val="24"/>
    </w:rPr>
  </w:style>
  <w:style w:type="paragraph" w:styleId="15">
    <w:name w:val="Body Text"/>
    <w:basedOn w:val="1"/>
    <w:link w:val="52"/>
    <w:qFormat/>
    <w:uiPriority w:val="1"/>
    <w:pPr>
      <w:autoSpaceDE w:val="0"/>
      <w:autoSpaceDN w:val="0"/>
      <w:jc w:val="left"/>
    </w:pPr>
    <w:rPr>
      <w:rFonts w:ascii="宋体" w:hAnsi="宋体" w:eastAsia="宋体" w:cs="宋体"/>
      <w:kern w:val="0"/>
      <w:sz w:val="28"/>
      <w:szCs w:val="28"/>
      <w:lang w:val="zh-CN" w:bidi="zh-CN"/>
    </w:rPr>
  </w:style>
  <w:style w:type="paragraph" w:styleId="16">
    <w:name w:val="Body Text Indent 2"/>
    <w:basedOn w:val="1"/>
    <w:qFormat/>
    <w:uiPriority w:val="0"/>
    <w:pPr>
      <w:spacing w:line="480" w:lineRule="auto"/>
      <w:ind w:left="420" w:leftChars="200"/>
    </w:pPr>
  </w:style>
  <w:style w:type="paragraph" w:styleId="17">
    <w:name w:val="Balloon Text"/>
    <w:basedOn w:val="1"/>
    <w:link w:val="43"/>
    <w:semiHidden/>
    <w:unhideWhenUsed/>
    <w:qFormat/>
    <w:uiPriority w:val="99"/>
    <w:rPr>
      <w:sz w:val="18"/>
      <w:szCs w:val="18"/>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semiHidden/>
    <w:unhideWhenUsed/>
    <w:qFormat/>
    <w:uiPriority w:val="39"/>
    <w:rPr>
      <w:rFonts w:ascii="Times New Roman" w:hAnsi="Times New Roman" w:eastAsia="宋体" w:cs="Times New Roman"/>
      <w:szCs w:val="24"/>
    </w:rPr>
  </w:style>
  <w:style w:type="paragraph" w:styleId="21">
    <w:name w:val="toc 2"/>
    <w:basedOn w:val="1"/>
    <w:next w:val="1"/>
    <w:qFormat/>
    <w:uiPriority w:val="39"/>
    <w:pPr>
      <w:ind w:left="420" w:leftChars="200"/>
    </w:pPr>
  </w:style>
  <w:style w:type="paragraph" w:styleId="22">
    <w:name w:val="Normal (Web)"/>
    <w:basedOn w:val="1"/>
    <w:unhideWhenUsed/>
    <w:qFormat/>
    <w:uiPriority w:val="99"/>
    <w:pPr>
      <w:ind w:firstLine="420" w:firstLineChars="200"/>
    </w:pPr>
    <w:rPr>
      <w:rFonts w:ascii="宋体" w:hAnsi="宋体" w:eastAsia="宋体" w:cs="Times New Roman"/>
      <w:sz w:val="24"/>
      <w:szCs w:val="24"/>
      <w:lang w:val="zh-CN"/>
    </w:rPr>
  </w:style>
  <w:style w:type="paragraph" w:styleId="23">
    <w:name w:val="index 1"/>
    <w:basedOn w:val="1"/>
    <w:next w:val="1"/>
    <w:semiHidden/>
    <w:unhideWhenUsed/>
    <w:qFormat/>
    <w:uiPriority w:val="0"/>
    <w:rPr>
      <w:rFonts w:ascii="Times New Roman" w:hAnsi="Times New Roman" w:eastAsia="宋体" w:cs="Times New Roman"/>
      <w:szCs w:val="20"/>
    </w:rPr>
  </w:style>
  <w:style w:type="paragraph" w:styleId="24">
    <w:name w:val="Title"/>
    <w:basedOn w:val="1"/>
    <w:link w:val="58"/>
    <w:qFormat/>
    <w:uiPriority w:val="0"/>
    <w:pPr>
      <w:spacing w:before="240" w:after="60"/>
      <w:jc w:val="center"/>
      <w:outlineLvl w:val="0"/>
    </w:pPr>
    <w:rPr>
      <w:rFonts w:ascii="Arial" w:hAnsi="Arial" w:eastAsia="宋体" w:cs="Arial"/>
      <w:b/>
      <w:bCs/>
      <w:sz w:val="32"/>
      <w:szCs w:val="32"/>
    </w:rPr>
  </w:style>
  <w:style w:type="paragraph" w:styleId="25">
    <w:name w:val="annotation subject"/>
    <w:basedOn w:val="14"/>
    <w:next w:val="14"/>
    <w:link w:val="59"/>
    <w:semiHidden/>
    <w:unhideWhenUsed/>
    <w:qFormat/>
    <w:uiPriority w:val="99"/>
    <w:rPr>
      <w:rFonts w:asciiTheme="minorHAnsi" w:hAnsiTheme="minorHAnsi"/>
      <w:b/>
      <w:bCs/>
      <w:szCs w:val="22"/>
    </w:rPr>
  </w:style>
  <w:style w:type="table" w:styleId="27">
    <w:name w:val="Table Grid"/>
    <w:basedOn w:val="2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qFormat/>
    <w:uiPriority w:val="0"/>
  </w:style>
  <w:style w:type="character" w:styleId="30">
    <w:name w:val="Hyperlink"/>
    <w:qFormat/>
    <w:uiPriority w:val="99"/>
    <w:rPr>
      <w:color w:val="0000FF"/>
      <w:u w:val="single"/>
    </w:rPr>
  </w:style>
  <w:style w:type="character" w:styleId="31">
    <w:name w:val="annotation reference"/>
    <w:basedOn w:val="28"/>
    <w:semiHidden/>
    <w:unhideWhenUsed/>
    <w:qFormat/>
    <w:uiPriority w:val="99"/>
    <w:rPr>
      <w:sz w:val="21"/>
      <w:szCs w:val="21"/>
    </w:rPr>
  </w:style>
  <w:style w:type="character" w:customStyle="1" w:styleId="32">
    <w:name w:val="标题 1 字符"/>
    <w:basedOn w:val="28"/>
    <w:link w:val="4"/>
    <w:qFormat/>
    <w:uiPriority w:val="0"/>
    <w:rPr>
      <w:rFonts w:ascii="宋体"/>
      <w:b/>
      <w:kern w:val="44"/>
      <w:sz w:val="32"/>
      <w:szCs w:val="20"/>
    </w:rPr>
  </w:style>
  <w:style w:type="character" w:customStyle="1" w:styleId="33">
    <w:name w:val="标题 2 字符"/>
    <w:basedOn w:val="28"/>
    <w:link w:val="5"/>
    <w:qFormat/>
    <w:uiPriority w:val="9"/>
    <w:rPr>
      <w:rFonts w:ascii="Arial" w:hAnsi="Arial" w:eastAsia="黑体" w:cs="Times New Roman"/>
      <w:b/>
      <w:bCs/>
      <w:kern w:val="0"/>
      <w:sz w:val="32"/>
      <w:szCs w:val="32"/>
    </w:rPr>
  </w:style>
  <w:style w:type="character" w:customStyle="1" w:styleId="34">
    <w:name w:val="标题 3 字符"/>
    <w:basedOn w:val="28"/>
    <w:link w:val="6"/>
    <w:semiHidden/>
    <w:qFormat/>
    <w:uiPriority w:val="9"/>
    <w:rPr>
      <w:b/>
      <w:bCs/>
      <w:sz w:val="32"/>
      <w:szCs w:val="32"/>
    </w:rPr>
  </w:style>
  <w:style w:type="character" w:customStyle="1" w:styleId="35">
    <w:name w:val="标题 4 字符"/>
    <w:basedOn w:val="28"/>
    <w:link w:val="7"/>
    <w:qFormat/>
    <w:uiPriority w:val="0"/>
    <w:rPr>
      <w:rFonts w:ascii="Arial" w:hAnsi="Arial" w:eastAsia="黑体" w:cs="Times New Roman"/>
      <w:b/>
      <w:bCs/>
      <w:kern w:val="0"/>
      <w:sz w:val="28"/>
      <w:szCs w:val="28"/>
    </w:rPr>
  </w:style>
  <w:style w:type="character" w:customStyle="1" w:styleId="36">
    <w:name w:val="标题 5 字符"/>
    <w:basedOn w:val="28"/>
    <w:link w:val="8"/>
    <w:qFormat/>
    <w:uiPriority w:val="0"/>
    <w:rPr>
      <w:rFonts w:ascii="Times New Roman" w:hAnsi="Times New Roman" w:eastAsia="宋体" w:cs="Times New Roman"/>
      <w:b/>
      <w:bCs/>
      <w:kern w:val="0"/>
      <w:sz w:val="28"/>
      <w:szCs w:val="28"/>
    </w:rPr>
  </w:style>
  <w:style w:type="character" w:customStyle="1" w:styleId="37">
    <w:name w:val="标题 6 字符"/>
    <w:basedOn w:val="28"/>
    <w:link w:val="9"/>
    <w:qFormat/>
    <w:uiPriority w:val="0"/>
    <w:rPr>
      <w:rFonts w:ascii="Arial" w:hAnsi="Arial" w:eastAsia="黑体" w:cs="Times New Roman"/>
      <w:b/>
      <w:bCs/>
      <w:kern w:val="0"/>
      <w:sz w:val="24"/>
      <w:szCs w:val="24"/>
    </w:rPr>
  </w:style>
  <w:style w:type="character" w:customStyle="1" w:styleId="38">
    <w:name w:val="标题 7 字符"/>
    <w:basedOn w:val="28"/>
    <w:link w:val="10"/>
    <w:qFormat/>
    <w:uiPriority w:val="0"/>
    <w:rPr>
      <w:rFonts w:ascii="Times New Roman" w:hAnsi="Times New Roman" w:eastAsia="宋体" w:cs="Times New Roman"/>
      <w:b/>
      <w:bCs/>
      <w:kern w:val="0"/>
      <w:sz w:val="24"/>
      <w:szCs w:val="24"/>
    </w:rPr>
  </w:style>
  <w:style w:type="character" w:customStyle="1" w:styleId="39">
    <w:name w:val="标题 8 字符"/>
    <w:basedOn w:val="28"/>
    <w:link w:val="11"/>
    <w:qFormat/>
    <w:uiPriority w:val="0"/>
    <w:rPr>
      <w:rFonts w:ascii="Arial" w:hAnsi="Arial" w:eastAsia="黑体" w:cs="Times New Roman"/>
      <w:kern w:val="0"/>
      <w:sz w:val="24"/>
      <w:szCs w:val="24"/>
    </w:rPr>
  </w:style>
  <w:style w:type="character" w:customStyle="1" w:styleId="40">
    <w:name w:val="标题 9 字符"/>
    <w:basedOn w:val="28"/>
    <w:link w:val="12"/>
    <w:qFormat/>
    <w:uiPriority w:val="0"/>
    <w:rPr>
      <w:rFonts w:ascii="Arial" w:hAnsi="Arial" w:eastAsia="黑体" w:cs="Times New Roman"/>
      <w:kern w:val="0"/>
      <w:szCs w:val="21"/>
    </w:rPr>
  </w:style>
  <w:style w:type="character" w:customStyle="1" w:styleId="41">
    <w:name w:val="页眉 字符"/>
    <w:basedOn w:val="28"/>
    <w:link w:val="19"/>
    <w:qFormat/>
    <w:uiPriority w:val="99"/>
    <w:rPr>
      <w:sz w:val="18"/>
      <w:szCs w:val="18"/>
    </w:rPr>
  </w:style>
  <w:style w:type="character" w:customStyle="1" w:styleId="42">
    <w:name w:val="页脚 字符"/>
    <w:basedOn w:val="28"/>
    <w:link w:val="18"/>
    <w:qFormat/>
    <w:uiPriority w:val="99"/>
    <w:rPr>
      <w:sz w:val="18"/>
      <w:szCs w:val="18"/>
    </w:rPr>
  </w:style>
  <w:style w:type="character" w:customStyle="1" w:styleId="43">
    <w:name w:val="批注框文本 字符"/>
    <w:basedOn w:val="28"/>
    <w:link w:val="17"/>
    <w:semiHidden/>
    <w:qFormat/>
    <w:uiPriority w:val="99"/>
    <w:rPr>
      <w:sz w:val="18"/>
      <w:szCs w:val="18"/>
    </w:rPr>
  </w:style>
  <w:style w:type="paragraph" w:styleId="44">
    <w:name w:val="List Paragraph"/>
    <w:basedOn w:val="1"/>
    <w:link w:val="61"/>
    <w:qFormat/>
    <w:uiPriority w:val="34"/>
    <w:pPr>
      <w:ind w:firstLine="420" w:firstLineChars="200"/>
    </w:pPr>
  </w:style>
  <w:style w:type="paragraph" w:customStyle="1" w:styleId="45">
    <w:name w:val="列出段落3"/>
    <w:basedOn w:val="1"/>
    <w:qFormat/>
    <w:uiPriority w:val="99"/>
    <w:pPr>
      <w:ind w:firstLine="420" w:firstLineChars="200"/>
    </w:pPr>
    <w:rPr>
      <w:rFonts w:ascii="Calibri" w:hAnsi="Calibri" w:eastAsia="宋体" w:cs="Times New Roman"/>
    </w:rPr>
  </w:style>
  <w:style w:type="paragraph" w:customStyle="1" w:styleId="46">
    <w:name w:val="列出段落1"/>
    <w:basedOn w:val="1"/>
    <w:qFormat/>
    <w:uiPriority w:val="34"/>
    <w:pPr>
      <w:spacing w:line="360" w:lineRule="auto"/>
      <w:ind w:firstLine="420" w:firstLineChars="200"/>
    </w:pPr>
    <w:rPr>
      <w:rFonts w:ascii="Calibri" w:hAnsi="Calibri" w:eastAsia="宋体" w:cs="Times New Roman"/>
      <w:sz w:val="24"/>
    </w:rPr>
  </w:style>
  <w:style w:type="character" w:customStyle="1" w:styleId="47">
    <w:name w:val="批注文字 字符"/>
    <w:link w:val="14"/>
    <w:semiHidden/>
    <w:qFormat/>
    <w:uiPriority w:val="0"/>
    <w:rPr>
      <w:rFonts w:ascii="Times New Roman" w:hAnsi="Times New Roman"/>
      <w:szCs w:val="24"/>
    </w:rPr>
  </w:style>
  <w:style w:type="character" w:customStyle="1" w:styleId="48">
    <w:name w:val="批注文字 字符1"/>
    <w:basedOn w:val="28"/>
    <w:semiHidden/>
    <w:qFormat/>
    <w:uiPriority w:val="99"/>
  </w:style>
  <w:style w:type="paragraph" w:customStyle="1" w:styleId="49">
    <w:name w:val="样式 标题 3h3H3sect1.2.3 + 五号 段前: 6 磅 段后: 6 磅 行距: 单倍行距"/>
    <w:basedOn w:val="6"/>
    <w:qFormat/>
    <w:uiPriority w:val="0"/>
    <w:pPr>
      <w:adjustRightInd w:val="0"/>
      <w:spacing w:before="120" w:after="120" w:line="240" w:lineRule="auto"/>
      <w:jc w:val="left"/>
      <w:textAlignment w:val="baseline"/>
    </w:pPr>
    <w:rPr>
      <w:rFonts w:ascii="Times New Roman" w:hAnsi="Times New Roman" w:eastAsia="宋体" w:cs="黑体"/>
      <w:kern w:val="0"/>
      <w:sz w:val="21"/>
      <w:szCs w:val="20"/>
    </w:rPr>
  </w:style>
  <w:style w:type="paragraph" w:customStyle="1" w:styleId="50">
    <w:name w:val="样式 标题 2 + 宋体 五号 行距: 单倍行距"/>
    <w:basedOn w:val="5"/>
    <w:qFormat/>
    <w:uiPriority w:val="0"/>
    <w:pPr>
      <w:spacing w:line="240" w:lineRule="auto"/>
    </w:pPr>
    <w:rPr>
      <w:rFonts w:ascii="宋体" w:hAnsi="宋体" w:eastAsia="宋体" w:cs="黑体"/>
      <w:sz w:val="21"/>
      <w:szCs w:val="20"/>
    </w:rPr>
  </w:style>
  <w:style w:type="table" w:customStyle="1" w:styleId="5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正文文本 字符"/>
    <w:basedOn w:val="28"/>
    <w:link w:val="15"/>
    <w:qFormat/>
    <w:uiPriority w:val="1"/>
    <w:rPr>
      <w:rFonts w:ascii="宋体" w:hAnsi="宋体" w:eastAsia="宋体" w:cs="宋体"/>
      <w:kern w:val="0"/>
      <w:sz w:val="28"/>
      <w:szCs w:val="28"/>
      <w:lang w:val="zh-CN" w:bidi="zh-CN"/>
    </w:rPr>
  </w:style>
  <w:style w:type="paragraph" w:customStyle="1" w:styleId="53">
    <w:name w:val="Table Paragraph"/>
    <w:basedOn w:val="1"/>
    <w:qFormat/>
    <w:uiPriority w:val="1"/>
    <w:pPr>
      <w:autoSpaceDE w:val="0"/>
      <w:autoSpaceDN w:val="0"/>
      <w:spacing w:before="150"/>
      <w:ind w:left="108"/>
      <w:jc w:val="left"/>
    </w:pPr>
    <w:rPr>
      <w:rFonts w:ascii="仿宋" w:hAnsi="仿宋" w:eastAsia="仿宋" w:cs="仿宋"/>
      <w:kern w:val="0"/>
      <w:sz w:val="22"/>
      <w:lang w:val="zh-CN" w:bidi="zh-CN"/>
    </w:rPr>
  </w:style>
  <w:style w:type="paragraph" w:customStyle="1" w:styleId="54">
    <w:name w:val="_Style 41"/>
    <w:basedOn w:val="1"/>
    <w:next w:val="1"/>
    <w:unhideWhenUsed/>
    <w:qFormat/>
    <w:uiPriority w:val="39"/>
    <w:rPr>
      <w:rFonts w:ascii="宋体" w:hAnsi="宋体" w:eastAsia="宋体" w:cs="宋体"/>
      <w:sz w:val="24"/>
      <w:szCs w:val="24"/>
    </w:rPr>
  </w:style>
  <w:style w:type="paragraph" w:customStyle="1" w:styleId="55">
    <w:name w:val="列出段落11"/>
    <w:basedOn w:val="1"/>
    <w:qFormat/>
    <w:uiPriority w:val="99"/>
    <w:pPr>
      <w:ind w:firstLine="420" w:firstLineChars="200"/>
    </w:pPr>
    <w:rPr>
      <w:rFonts w:ascii="宋体" w:hAnsi="宋体" w:eastAsia="宋体" w:cs="宋体"/>
      <w:sz w:val="24"/>
      <w:szCs w:val="24"/>
    </w:rPr>
  </w:style>
  <w:style w:type="character" w:customStyle="1" w:styleId="56">
    <w:name w:val="页脚 Char"/>
    <w:qFormat/>
    <w:uiPriority w:val="99"/>
    <w:rPr>
      <w:sz w:val="18"/>
      <w:szCs w:val="18"/>
    </w:rPr>
  </w:style>
  <w:style w:type="paragraph" w:customStyle="1" w:styleId="57">
    <w:name w:val="样式2"/>
    <w:basedOn w:val="1"/>
    <w:qFormat/>
    <w:uiPriority w:val="99"/>
    <w:pPr>
      <w:spacing w:line="300" w:lineRule="auto"/>
      <w:jc w:val="center"/>
      <w:outlineLvl w:val="0"/>
    </w:pPr>
    <w:rPr>
      <w:rFonts w:ascii="宋体" w:hAnsi="宋体" w:eastAsia="宋体" w:cs="宋体"/>
      <w:b/>
      <w:bCs/>
      <w:sz w:val="24"/>
      <w:szCs w:val="24"/>
    </w:rPr>
  </w:style>
  <w:style w:type="character" w:customStyle="1" w:styleId="58">
    <w:name w:val="标题 字符"/>
    <w:basedOn w:val="28"/>
    <w:link w:val="24"/>
    <w:qFormat/>
    <w:uiPriority w:val="0"/>
    <w:rPr>
      <w:rFonts w:ascii="Arial" w:hAnsi="Arial" w:eastAsia="宋体" w:cs="Arial"/>
      <w:b/>
      <w:bCs/>
      <w:sz w:val="32"/>
      <w:szCs w:val="32"/>
    </w:rPr>
  </w:style>
  <w:style w:type="character" w:customStyle="1" w:styleId="59">
    <w:name w:val="批注主题 字符"/>
    <w:basedOn w:val="47"/>
    <w:link w:val="25"/>
    <w:semiHidden/>
    <w:qFormat/>
    <w:uiPriority w:val="99"/>
    <w:rPr>
      <w:rFonts w:ascii="Times New Roman" w:hAnsi="Times New Roman"/>
      <w:b/>
      <w:bCs/>
      <w:szCs w:val="24"/>
    </w:rPr>
  </w:style>
  <w:style w:type="paragraph" w:customStyle="1" w:styleId="60">
    <w:name w:val="样式29"/>
    <w:basedOn w:val="1"/>
    <w:qFormat/>
    <w:uiPriority w:val="99"/>
    <w:pPr>
      <w:widowControl/>
      <w:spacing w:line="440" w:lineRule="exact"/>
      <w:ind w:firstLine="200" w:firstLineChars="200"/>
      <w:jc w:val="left"/>
    </w:pPr>
    <w:rPr>
      <w:rFonts w:eastAsia="楷体_GB2312"/>
      <w:spacing w:val="6"/>
      <w:sz w:val="24"/>
    </w:rPr>
  </w:style>
  <w:style w:type="character" w:customStyle="1" w:styleId="61">
    <w:name w:val="列表段落 字符"/>
    <w:link w:val="44"/>
    <w:qFormat/>
    <w:locked/>
    <w:uiPriority w:val="34"/>
  </w:style>
  <w:style w:type="paragraph" w:customStyle="1" w:styleId="62">
    <w:name w:val="列出段落4"/>
    <w:basedOn w:val="1"/>
    <w:qFormat/>
    <w:uiPriority w:val="99"/>
    <w:pPr>
      <w:ind w:firstLine="420" w:firstLineChars="200"/>
    </w:pPr>
    <w:rPr>
      <w:rFonts w:ascii="Times New Roman" w:hAnsi="Times New Roman" w:eastAsia="宋体" w:cs="Times New Roman"/>
      <w:szCs w:val="24"/>
    </w:rPr>
  </w:style>
  <w:style w:type="paragraph" w:customStyle="1" w:styleId="63">
    <w:name w:val="样式1"/>
    <w:basedOn w:val="4"/>
    <w:qFormat/>
    <w:uiPriority w:val="0"/>
    <w:pPr>
      <w:spacing w:before="340" w:after="330" w:line="340" w:lineRule="exact"/>
      <w:ind w:right="-20"/>
    </w:pPr>
    <w:rPr>
      <w:rFonts w:hAnsi="宋体" w:eastAsia="仿宋_GB2312" w:cs="Times New Roman"/>
      <w:bCs/>
      <w:kern w:val="0"/>
      <w:szCs w:val="32"/>
    </w:rPr>
  </w:style>
  <w:style w:type="character" w:customStyle="1" w:styleId="64">
    <w:name w:val="fontstyle01"/>
    <w:basedOn w:val="28"/>
    <w:qFormat/>
    <w:uiPriority w:val="0"/>
    <w:rPr>
      <w:rFonts w:hint="default" w:ascii="TimesNewRomanPSMT" w:hAnsi="TimesNewRomanPSMT"/>
      <w:color w:val="000000"/>
      <w:sz w:val="24"/>
      <w:szCs w:val="24"/>
    </w:rPr>
  </w:style>
  <w:style w:type="character" w:customStyle="1" w:styleId="65">
    <w:name w:val="fontstyle11"/>
    <w:basedOn w:val="28"/>
    <w:qFormat/>
    <w:uiPriority w:val="0"/>
    <w:rPr>
      <w:rFonts w:hint="eastAsia" w:ascii="宋体" w:hAnsi="宋体" w:eastAsia="宋体"/>
      <w:color w:val="000000"/>
      <w:sz w:val="24"/>
      <w:szCs w:val="24"/>
    </w:rPr>
  </w:style>
  <w:style w:type="character" w:customStyle="1" w:styleId="66">
    <w:name w:val="font31"/>
    <w:basedOn w:val="28"/>
    <w:qFormat/>
    <w:uiPriority w:val="0"/>
    <w:rPr>
      <w:rFonts w:hint="eastAsia" w:ascii="宋体" w:hAnsi="宋体" w:eastAsia="宋体" w:cs="宋体"/>
      <w:color w:val="000000"/>
      <w:sz w:val="18"/>
      <w:szCs w:val="18"/>
      <w:u w:val="none"/>
    </w:rPr>
  </w:style>
  <w:style w:type="character" w:customStyle="1" w:styleId="67">
    <w:name w:val="font21"/>
    <w:basedOn w:val="28"/>
    <w:qFormat/>
    <w:uiPriority w:val="0"/>
    <w:rPr>
      <w:rFonts w:hint="eastAsia" w:ascii="宋体" w:hAnsi="宋体" w:eastAsia="宋体" w:cs="宋体"/>
      <w:color w:val="000000"/>
      <w:sz w:val="22"/>
      <w:szCs w:val="22"/>
      <w:u w:val="none"/>
    </w:rPr>
  </w:style>
  <w:style w:type="character" w:customStyle="1" w:styleId="68">
    <w:name w:val="不明显参考1"/>
    <w:qFormat/>
    <w:uiPriority w:val="31"/>
    <w:rPr>
      <w:smallCaps/>
      <w:color w:val="C0504D"/>
      <w:u w:val="single"/>
    </w:rPr>
  </w:style>
  <w:style w:type="paragraph" w:customStyle="1" w:styleId="69">
    <w:name w:val="List Paragraph1"/>
    <w:basedOn w:val="1"/>
    <w:qFormat/>
    <w:uiPriority w:val="99"/>
    <w:pPr>
      <w:ind w:firstLine="420" w:firstLineChars="200"/>
    </w:pPr>
    <w:rPr>
      <w:rFonts w:ascii="Times New Roman" w:hAnsi="Times New Roman" w:eastAsia="宋体" w:cs="Times New Roman"/>
      <w:szCs w:val="24"/>
    </w:rPr>
  </w:style>
  <w:style w:type="paragraph" w:customStyle="1" w:styleId="70">
    <w:name w:val="Table Text"/>
    <w:basedOn w:val="1"/>
    <w:semiHidden/>
    <w:qFormat/>
    <w:uiPriority w:val="0"/>
    <w:rPr>
      <w:rFonts w:ascii="宋体" w:hAnsi="宋体" w:eastAsia="宋体" w:cs="宋体"/>
      <w:sz w:val="20"/>
      <w:szCs w:val="20"/>
      <w:lang w:eastAsia="en-US"/>
    </w:rPr>
  </w:style>
  <w:style w:type="paragraph" w:customStyle="1" w:styleId="71">
    <w:name w:val="null5null5"/>
    <w:qFormat/>
    <w:uiPriority w:val="0"/>
    <w:rPr>
      <w:rFonts w:hint="eastAsia" w:ascii="宋体" w:hAnsi="宋体" w:eastAsia="宋体" w:cs="宋体"/>
      <w:sz w:val="24"/>
      <w:szCs w:val="24"/>
      <w:lang w:val="en-US" w:eastAsia="zh-CN"/>
    </w:rPr>
  </w:style>
  <w:style w:type="character" w:customStyle="1" w:styleId="72">
    <w:name w:val="font61"/>
    <w:basedOn w:val="28"/>
    <w:qFormat/>
    <w:uiPriority w:val="0"/>
    <w:rPr>
      <w:rFonts w:hint="eastAsia" w:ascii="宋体" w:hAnsi="宋体" w:eastAsia="宋体" w:cs="宋体"/>
      <w:color w:val="000000"/>
      <w:sz w:val="18"/>
      <w:szCs w:val="18"/>
      <w:u w:val="none"/>
    </w:rPr>
  </w:style>
  <w:style w:type="character" w:customStyle="1" w:styleId="73">
    <w:name w:val="font41"/>
    <w:basedOn w:val="28"/>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613A-5725-403E-AA71-9527D125FB3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27</Pages>
  <Words>9299</Words>
  <Characters>10590</Characters>
  <Lines>116</Lines>
  <Paragraphs>32</Paragraphs>
  <TotalTime>0</TotalTime>
  <ScaleCrop>false</ScaleCrop>
  <LinksUpToDate>false</LinksUpToDate>
  <CharactersWithSpaces>11751</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2020-10-30T03:29:00Z</dcterms:created>
  <dc:creator>WJ</dc:creator>
  <cp:lastModifiedBy>admin</cp:lastModifiedBy>
  <cp:lastPrinted>2022-10-17T07:42:00Z</cp:lastPrinted>
  <dcterms:modified xsi:type="dcterms:W3CDTF">2024-06-11T03:35:30Z</dcterms:modified>
  <cp:revision>452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5D2749779BC74D169B8DC9124F90B962</vt:lpwstr>
  </property>
</Properties>
</file>