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drawing>
          <wp:inline distT="0" distB="0" distL="0" distR="0">
            <wp:extent cx="2969260" cy="4572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ascii="黑体" w:hAnsi="黑体" w:eastAsia="黑体" w:cs="黑体"/>
          <w:b/>
          <w:kern w:val="44"/>
          <w:sz w:val="44"/>
          <w:szCs w:val="44"/>
          <w:lang w:val="en-US" w:eastAsia="zh-CN" w:bidi="ar-SA"/>
        </w:rPr>
      </w:pPr>
      <w:r>
        <w:rPr>
          <w:rFonts w:hint="eastAsia" w:ascii="黑体" w:hAnsi="黑体" w:eastAsia="黑体" w:cs="黑体"/>
          <w:b/>
          <w:kern w:val="44"/>
          <w:sz w:val="44"/>
          <w:szCs w:val="44"/>
          <w:lang w:val="en-US" w:eastAsia="zh-CN" w:bidi="ar-SA"/>
        </w:rPr>
        <w:t>常年法律顾问服务项目</w:t>
      </w:r>
    </w:p>
    <w:p>
      <w:pPr>
        <w:pStyle w:val="2"/>
        <w:rPr>
          <w:rFonts w:ascii="黑体" w:hAnsi="黑体" w:eastAsia="黑体"/>
          <w:sz w:val="44"/>
          <w:szCs w:val="44"/>
        </w:rPr>
      </w:pPr>
      <w:r>
        <w:rPr>
          <w:rFonts w:hint="eastAsia" w:ascii="黑体" w:hAnsi="黑体" w:eastAsia="黑体"/>
          <w:sz w:val="44"/>
          <w:szCs w:val="44"/>
        </w:rPr>
        <w:t>院内遴选文件</w:t>
      </w:r>
    </w:p>
    <w:p>
      <w:pPr>
        <w:autoSpaceDE w:val="0"/>
        <w:autoSpaceDN w:val="0"/>
        <w:adjustRightInd w:val="0"/>
        <w:jc w:val="center"/>
        <w:rPr>
          <w:b/>
          <w:sz w:val="32"/>
          <w:szCs w:val="32"/>
        </w:rPr>
      </w:pPr>
    </w:p>
    <w:p>
      <w:pPr>
        <w:pStyle w:val="11"/>
        <w:rPr>
          <w:b/>
          <w:sz w:val="32"/>
          <w:szCs w:val="32"/>
        </w:rPr>
      </w:pPr>
    </w:p>
    <w:p>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highlight w:val="none"/>
          <w:lang w:val="en-US" w:eastAsia="zh-CN"/>
        </w:rPr>
        <w:t>5</w:t>
      </w:r>
      <w:r>
        <w:rPr>
          <w:rFonts w:hint="eastAsia"/>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09</w:t>
      </w:r>
      <w:r>
        <w:rPr>
          <w:rFonts w:hint="eastAsia"/>
          <w:b/>
          <w:color w:val="000000" w:themeColor="text1"/>
          <w:sz w:val="32"/>
          <w:szCs w:val="32"/>
          <w:highlight w:val="none"/>
          <w14:textFill>
            <w14:solidFill>
              <w14:schemeClr w14:val="tx1"/>
            </w14:solidFill>
          </w14:textFill>
        </w:rPr>
        <w:t>-0</w:t>
      </w:r>
      <w:r>
        <w:rPr>
          <w:rFonts w:hint="eastAsia"/>
          <w:b/>
          <w:color w:val="000000" w:themeColor="text1"/>
          <w:sz w:val="32"/>
          <w:szCs w:val="32"/>
          <w:highlight w:val="none"/>
          <w:lang w:val="en-US" w:eastAsia="zh-CN"/>
          <w14:textFill>
            <w14:solidFill>
              <w14:schemeClr w14:val="tx1"/>
            </w14:solidFill>
          </w14:textFill>
        </w:rPr>
        <w:t>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5</w:t>
      </w:r>
      <w:r>
        <w:rPr>
          <w:rFonts w:hint="eastAsia"/>
          <w:b/>
          <w:bCs/>
          <w:sz w:val="32"/>
          <w:szCs w:val="32"/>
          <w:highlight w:val="none"/>
        </w:rPr>
        <w:t>年</w:t>
      </w:r>
      <w:r>
        <w:rPr>
          <w:rFonts w:hint="eastAsia"/>
          <w:b/>
          <w:bCs/>
          <w:sz w:val="32"/>
          <w:szCs w:val="32"/>
          <w:highlight w:val="none"/>
          <w:lang w:val="en-US" w:eastAsia="zh-CN"/>
        </w:rPr>
        <w:t>09</w:t>
      </w:r>
      <w:r>
        <w:rPr>
          <w:rFonts w:hint="eastAsia"/>
          <w:b/>
          <w:bCs/>
          <w:sz w:val="32"/>
          <w:szCs w:val="32"/>
          <w:highlight w:val="none"/>
        </w:rPr>
        <w:t>月</w:t>
      </w:r>
    </w:p>
    <w:p>
      <w:pPr>
        <w:autoSpaceDE w:val="0"/>
        <w:autoSpaceDN w:val="0"/>
        <w:adjustRightInd w:val="0"/>
        <w:jc w:val="both"/>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autoSpaceDE w:val="0"/>
        <w:autoSpaceDN w:val="0"/>
        <w:adjustRightInd w:val="0"/>
        <w:jc w:val="center"/>
        <w:rPr>
          <w:rFonts w:hint="eastAsia" w:ascii="黑体" w:hAnsi="Arial" w:eastAsia="黑体" w:cs="黑体"/>
          <w:kern w:val="0"/>
          <w:sz w:val="36"/>
          <w:szCs w:val="36"/>
          <w:lang w:val="zh-CN"/>
        </w:rPr>
      </w:pPr>
    </w:p>
    <w:p>
      <w:pPr>
        <w:pStyle w:val="18"/>
        <w:rPr>
          <w:rFonts w:hint="eastAsia"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9"/>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pPr>
        <w:pStyle w:val="59"/>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pPr>
        <w:pStyle w:val="59"/>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pPr>
        <w:pStyle w:val="59"/>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pPr>
        <w:pStyle w:val="59"/>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pPr>
        <w:pStyle w:val="59"/>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pPr>
        <w:pStyle w:val="59"/>
        <w:tabs>
          <w:tab w:val="right" w:leader="dot" w:pos="9746"/>
        </w:tabs>
        <w:spacing w:line="360" w:lineRule="auto"/>
        <w:jc w:val="left"/>
      </w:pPr>
    </w:p>
    <w:p>
      <w:pPr>
        <w:pStyle w:val="59"/>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rPr>
          <w:sz w:val="24"/>
          <w:szCs w:val="24"/>
        </w:rPr>
      </w:pPr>
    </w:p>
    <w:p>
      <w:pPr>
        <w:rPr>
          <w:sz w:val="24"/>
          <w:szCs w:val="24"/>
        </w:rPr>
      </w:pPr>
    </w:p>
    <w:p>
      <w:pPr>
        <w:rPr>
          <w:sz w:val="24"/>
          <w:szCs w:val="24"/>
        </w:rPr>
      </w:pPr>
    </w:p>
    <w:p>
      <w:pPr>
        <w:pStyle w:val="2"/>
        <w:numPr>
          <w:ilvl w:val="0"/>
          <w:numId w:val="1"/>
        </w:numPr>
      </w:pPr>
      <w:bookmarkStart w:id="0" w:name="_Toc16497"/>
      <w:bookmarkStart w:id="1" w:name="_Toc508200434"/>
      <w:bookmarkStart w:id="2" w:name="_Toc5065"/>
      <w:bookmarkStart w:id="3" w:name="_Toc27905"/>
      <w:r>
        <w:rPr>
          <w:rFonts w:hint="eastAsia"/>
        </w:rPr>
        <w:t>院内遴选邀请</w:t>
      </w:r>
      <w:bookmarkEnd w:id="0"/>
      <w:bookmarkEnd w:id="1"/>
      <w:bookmarkEnd w:id="2"/>
      <w:bookmarkEnd w:id="3"/>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北京按摩医院常年法律顾问服务项目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w:t>
      </w:r>
      <w:r>
        <w:rPr>
          <w:rFonts w:hint="eastAsia" w:asciiTheme="minorEastAsia" w:hAnsiTheme="minorEastAsia"/>
          <w:kern w:val="0"/>
          <w:szCs w:val="21"/>
          <w:highlight w:val="none"/>
          <w:lang w:val="en-US" w:eastAsia="zh-CN"/>
        </w:rPr>
        <w:t xml:space="preserve">-09-02 </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9"/>
        <w:numPr>
          <w:ilvl w:val="0"/>
          <w:numId w:val="2"/>
        </w:numPr>
        <w:spacing w:line="480" w:lineRule="auto"/>
        <w:ind w:firstLineChars="0"/>
        <w:rPr>
          <w:rFonts w:asciiTheme="minorEastAsia" w:hAnsiTheme="minorEastAsia"/>
          <w:color w:val="auto"/>
          <w:kern w:val="0"/>
          <w:szCs w:val="21"/>
          <w:highlight w:val="none"/>
        </w:rPr>
      </w:pPr>
      <w:bookmarkStart w:id="4" w:name="_Toc508200435"/>
      <w:bookmarkStart w:id="5" w:name="_Toc21499"/>
      <w:bookmarkStart w:id="6" w:name="_Toc1861"/>
      <w:bookmarkStart w:id="7" w:name="_Toc31724"/>
      <w:bookmarkStart w:id="8" w:name="_Hlk55129603"/>
      <w:r>
        <w:rPr>
          <w:rFonts w:hint="eastAsia" w:asciiTheme="minorEastAsia" w:hAnsiTheme="minorEastAsia"/>
          <w:color w:val="auto"/>
          <w:kern w:val="0"/>
          <w:szCs w:val="21"/>
          <w:highlight w:val="none"/>
          <w:lang w:val="en-US" w:eastAsia="zh-CN"/>
        </w:rPr>
        <w:t>律师事务所执业许可证或律师事务所执业许可证（副本）的</w:t>
      </w:r>
      <w:r>
        <w:rPr>
          <w:rFonts w:asciiTheme="minorEastAsia" w:hAnsiTheme="minorEastAsia"/>
          <w:color w:val="auto"/>
          <w:kern w:val="0"/>
          <w:szCs w:val="21"/>
          <w:highlight w:val="none"/>
        </w:rPr>
        <w:t>复印件（前述</w:t>
      </w:r>
      <w:r>
        <w:rPr>
          <w:rFonts w:hint="eastAsia" w:asciiTheme="minorEastAsia" w:hAnsiTheme="minorEastAsia"/>
          <w:color w:val="auto"/>
          <w:kern w:val="0"/>
          <w:szCs w:val="21"/>
          <w:highlight w:val="none"/>
        </w:rPr>
        <w:t>资质</w:t>
      </w:r>
      <w:r>
        <w:rPr>
          <w:rFonts w:asciiTheme="minorEastAsia" w:hAnsiTheme="minorEastAsia"/>
          <w:color w:val="auto"/>
          <w:kern w:val="0"/>
          <w:szCs w:val="21"/>
          <w:highlight w:val="none"/>
        </w:rPr>
        <w:t>证书需在有效期内、应清晰可辨，并加盖</w:t>
      </w:r>
      <w:r>
        <w:rPr>
          <w:rFonts w:hint="eastAsia" w:asciiTheme="minorEastAsia" w:hAnsiTheme="minorEastAsia"/>
          <w:color w:val="auto"/>
          <w:kern w:val="0"/>
          <w:szCs w:val="21"/>
          <w:highlight w:val="none"/>
        </w:rPr>
        <w:t>供应商</w:t>
      </w:r>
      <w:r>
        <w:rPr>
          <w:rFonts w:asciiTheme="minorEastAsia" w:hAnsiTheme="minorEastAsia"/>
          <w:color w:val="auto"/>
          <w:kern w:val="0"/>
          <w:szCs w:val="21"/>
          <w:highlight w:val="none"/>
        </w:rPr>
        <w:t>公章）</w:t>
      </w:r>
      <w:r>
        <w:rPr>
          <w:rFonts w:hint="eastAsia" w:asciiTheme="minorEastAsia" w:hAnsiTheme="minorEastAsia"/>
          <w:color w:val="auto"/>
          <w:kern w:val="0"/>
          <w:szCs w:val="21"/>
          <w:highlight w:val="none"/>
        </w:rPr>
        <w:t>；</w:t>
      </w:r>
    </w:p>
    <w:p>
      <w:pPr>
        <w:pStyle w:val="49"/>
        <w:numPr>
          <w:ilvl w:val="0"/>
          <w:numId w:val="2"/>
        </w:numPr>
        <w:spacing w:line="480" w:lineRule="auto"/>
        <w:ind w:firstLineChars="0"/>
        <w:rPr>
          <w:rFonts w:asciiTheme="minorEastAsia" w:hAnsiTheme="minorEastAsia"/>
          <w:color w:val="auto"/>
          <w:kern w:val="0"/>
          <w:szCs w:val="21"/>
          <w:highlight w:val="none"/>
        </w:rPr>
      </w:pPr>
      <w:r>
        <w:rPr>
          <w:rFonts w:hint="eastAsia" w:asciiTheme="minorEastAsia" w:hAnsiTheme="minorEastAsia"/>
          <w:color w:val="auto"/>
          <w:kern w:val="0"/>
          <w:szCs w:val="21"/>
          <w:highlight w:val="none"/>
          <w:lang w:val="en-US" w:eastAsia="zh-CN"/>
        </w:rPr>
        <w:t>负责人</w:t>
      </w:r>
      <w:r>
        <w:rPr>
          <w:rFonts w:hint="eastAsia" w:asciiTheme="minorEastAsia" w:hAnsiTheme="minorEastAsia"/>
          <w:color w:val="auto"/>
          <w:kern w:val="0"/>
          <w:szCs w:val="21"/>
          <w:highlight w:val="none"/>
        </w:rPr>
        <w:t>身份证明复印件；</w:t>
      </w:r>
    </w:p>
    <w:p>
      <w:pPr>
        <w:pStyle w:val="49"/>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9"/>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9"/>
        <w:numPr>
          <w:ilvl w:val="0"/>
          <w:numId w:val="2"/>
        </w:numPr>
        <w:spacing w:line="480" w:lineRule="auto"/>
        <w:ind w:firstLineChars="0"/>
        <w:rPr>
          <w:rFonts w:asciiTheme="minorEastAsia" w:hAnsiTheme="minorEastAsia"/>
          <w:color w:val="auto"/>
          <w:kern w:val="0"/>
          <w:szCs w:val="21"/>
          <w:highlight w:val="none"/>
        </w:rPr>
      </w:pPr>
      <w:r>
        <w:rPr>
          <w:rFonts w:asciiTheme="minorEastAsia" w:hAnsiTheme="minorEastAsia"/>
          <w:color w:val="auto"/>
          <w:kern w:val="0"/>
          <w:szCs w:val="21"/>
          <w:highlight w:val="none"/>
        </w:rPr>
        <w:t>有效的</w:t>
      </w:r>
      <w:r>
        <w:rPr>
          <w:rFonts w:hint="eastAsia" w:asciiTheme="minorEastAsia" w:hAnsiTheme="minorEastAsia"/>
          <w:color w:val="auto"/>
          <w:kern w:val="0"/>
          <w:szCs w:val="21"/>
          <w:highlight w:val="none"/>
        </w:rPr>
        <w:t>供应商</w:t>
      </w:r>
      <w:r>
        <w:rPr>
          <w:rFonts w:hint="eastAsia" w:asciiTheme="minorEastAsia" w:hAnsiTheme="minorEastAsia"/>
          <w:color w:val="auto"/>
          <w:kern w:val="0"/>
          <w:szCs w:val="21"/>
          <w:highlight w:val="none"/>
          <w:lang w:val="en-US" w:eastAsia="zh-CN"/>
        </w:rPr>
        <w:t>负责</w:t>
      </w:r>
      <w:r>
        <w:rPr>
          <w:rFonts w:asciiTheme="minorEastAsia" w:hAnsiTheme="minorEastAsia"/>
          <w:color w:val="auto"/>
          <w:kern w:val="0"/>
          <w:szCs w:val="21"/>
          <w:highlight w:val="none"/>
        </w:rPr>
        <w:t>人授权书原件</w:t>
      </w:r>
      <w:r>
        <w:rPr>
          <w:rFonts w:hint="eastAsia" w:asciiTheme="minorEastAsia" w:hAnsiTheme="minorEastAsia"/>
          <w:color w:val="auto"/>
          <w:kern w:val="0"/>
          <w:szCs w:val="21"/>
          <w:highlight w:val="none"/>
        </w:rPr>
        <w:t>及被授权人的身份证复印件；</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
        <w:jc w:val="center"/>
      </w:pPr>
      <w:r>
        <w:rPr>
          <w:rFonts w:hint="eastAsia"/>
        </w:rPr>
        <w:t>第二章  遴选前附表</w:t>
      </w:r>
      <w:bookmarkEnd w:id="4"/>
      <w:bookmarkEnd w:id="5"/>
      <w:bookmarkEnd w:id="6"/>
      <w:bookmarkEnd w:id="7"/>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30"/>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318"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w:t>
            </w:r>
            <w:r>
              <w:rPr>
                <w:rFonts w:hint="eastAsia" w:asciiTheme="minorEastAsia" w:hAnsiTheme="minorEastAsia"/>
                <w:kern w:val="0"/>
                <w:sz w:val="18"/>
                <w:szCs w:val="18"/>
                <w:highlight w:val="none"/>
              </w:rPr>
              <w:t>202</w:t>
            </w:r>
            <w:r>
              <w:rPr>
                <w:rFonts w:hint="eastAsia" w:asciiTheme="minorEastAsia" w:hAnsiTheme="minorEastAsia"/>
                <w:kern w:val="0"/>
                <w:sz w:val="18"/>
                <w:szCs w:val="18"/>
                <w:highlight w:val="none"/>
                <w:lang w:val="en-US" w:eastAsia="zh-CN"/>
              </w:rPr>
              <w:t>5</w:t>
            </w:r>
            <w:r>
              <w:rPr>
                <w:rFonts w:hint="eastAsia" w:asciiTheme="minorEastAsia" w:hAnsiTheme="minorEastAsia"/>
                <w:kern w:val="0"/>
                <w:sz w:val="18"/>
                <w:szCs w:val="18"/>
                <w:highlight w:val="none"/>
              </w:rPr>
              <w:t>年</w:t>
            </w:r>
            <w:r>
              <w:rPr>
                <w:rFonts w:hint="eastAsia" w:asciiTheme="minorEastAsia" w:hAnsiTheme="minorEastAsia"/>
                <w:kern w:val="0"/>
                <w:sz w:val="18"/>
                <w:szCs w:val="18"/>
                <w:highlight w:val="none"/>
                <w:lang w:val="en-US" w:eastAsia="zh-CN"/>
              </w:rPr>
              <w:t>9</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18</w:t>
            </w:r>
            <w:r>
              <w:rPr>
                <w:rFonts w:hint="eastAsia" w:asciiTheme="minorEastAsia" w:hAnsiTheme="minorEastAsia"/>
                <w:kern w:val="0"/>
                <w:sz w:val="18"/>
                <w:szCs w:val="18"/>
                <w:highlight w:val="none"/>
              </w:rPr>
              <w:t>日上午 9点</w:t>
            </w:r>
            <w:r>
              <w:rPr>
                <w:rFonts w:hint="eastAsia" w:asciiTheme="minorEastAsia" w:hAnsiTheme="minorEastAsia"/>
                <w:kern w:val="0"/>
                <w:sz w:val="18"/>
                <w:szCs w:val="18"/>
              </w:rPr>
              <w:t>（如果时间有变化，以实际为准）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w:t>
            </w:r>
            <w:r>
              <w:rPr>
                <w:rFonts w:hint="eastAsia" w:asciiTheme="minorEastAsia" w:hAnsiTheme="minorEastAsia"/>
                <w:kern w:val="0"/>
                <w:sz w:val="18"/>
                <w:szCs w:val="18"/>
                <w:lang w:val="en-US" w:eastAsia="zh-CN"/>
              </w:rPr>
              <w:t>李</w:t>
            </w:r>
            <w:r>
              <w:rPr>
                <w:rFonts w:hint="eastAsia" w:asciiTheme="minorEastAsia" w:hAnsiTheme="minorEastAsia"/>
                <w:kern w:val="0"/>
                <w:sz w:val="18"/>
                <w:szCs w:val="18"/>
              </w:rPr>
              <w:t>老师</w:t>
            </w:r>
            <w:bookmarkStart w:id="57" w:name="_GoBack"/>
            <w:bookmarkEnd w:id="57"/>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服务类</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lang w:val="en-US" w:eastAsia="zh-CN"/>
              </w:rPr>
              <w:t>服务期</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服务期3年，合同一年一签，经考核合格后可续签下一年度服务合同</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hint="eastAsia" w:eastAsiaTheme="minorEastAsia"/>
                <w:lang w:eastAsia="zh-CN"/>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r>
              <w:rPr>
                <w:rFonts w:hint="eastAsia" w:cs="Arial" w:asciiTheme="minorEastAsia" w:hAnsiTheme="minorEastAsia"/>
                <w:sz w:val="18"/>
                <w:szCs w:val="18"/>
                <w:lang w:eastAsia="zh-CN"/>
              </w:rPr>
              <w:t>。</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kern w:val="0"/>
                <w:sz w:val="18"/>
                <w:szCs w:val="18"/>
                <w:highlight w:val="none"/>
                <w:lang w:val="en-US" w:eastAsia="zh-CN"/>
              </w:rPr>
            </w:pPr>
            <w:r>
              <w:rPr>
                <w:rFonts w:hint="eastAsia" w:asciiTheme="minorEastAsia" w:hAnsiTheme="minorEastAsia" w:cstheme="minorBidi"/>
                <w:kern w:val="0"/>
                <w:sz w:val="18"/>
                <w:szCs w:val="18"/>
              </w:rPr>
              <w:t>预算</w:t>
            </w:r>
            <w:r>
              <w:rPr>
                <w:rFonts w:hint="eastAsia" w:asciiTheme="minorEastAsia" w:hAnsiTheme="minorEastAsia" w:cstheme="minorBidi"/>
                <w:kern w:val="0"/>
                <w:sz w:val="18"/>
                <w:szCs w:val="18"/>
                <w:lang w:val="en-US" w:eastAsia="zh-CN"/>
              </w:rPr>
              <w:t>金额</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kern w:val="0"/>
                <w:sz w:val="18"/>
                <w:szCs w:val="18"/>
                <w:highlight w:val="none"/>
                <w:lang w:val="en-US" w:eastAsia="zh-CN"/>
              </w:rPr>
            </w:pPr>
            <w:r>
              <w:rPr>
                <w:rFonts w:hint="eastAsia" w:asciiTheme="minorEastAsia" w:hAnsiTheme="minorEastAsia"/>
                <w:kern w:val="0"/>
                <w:sz w:val="18"/>
                <w:szCs w:val="18"/>
                <w:lang w:val="en-US" w:eastAsia="zh-CN"/>
              </w:rPr>
              <w:t>预算金额人民币</w:t>
            </w:r>
            <w:r>
              <w:rPr>
                <w:rFonts w:hint="eastAsia" w:asciiTheme="minorEastAsia" w:hAnsiTheme="minorEastAsia"/>
                <w:kern w:val="0"/>
                <w:sz w:val="18"/>
                <w:szCs w:val="18"/>
                <w:highlight w:val="none"/>
                <w:lang w:val="en-US" w:eastAsia="zh-CN"/>
              </w:rPr>
              <w:t>：30万元/年</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highlight w:val="none"/>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8"/>
    </w:tbl>
    <w:p>
      <w:pPr>
        <w:pStyle w:val="49"/>
        <w:numPr>
          <w:ilvl w:val="0"/>
          <w:numId w:val="0"/>
        </w:numPr>
        <w:spacing w:line="360" w:lineRule="auto"/>
        <w:ind w:leftChars="0"/>
        <w:rPr>
          <w:rFonts w:hint="eastAsia" w:asciiTheme="minorEastAsia" w:hAnsiTheme="minorEastAsia"/>
          <w:szCs w:val="21"/>
        </w:rPr>
      </w:pPr>
      <w:bookmarkStart w:id="9" w:name="_Toc8891"/>
      <w:bookmarkStart w:id="10" w:name="_Toc26804"/>
      <w:bookmarkStart w:id="11" w:name="_Toc508200445"/>
      <w:bookmarkStart w:id="12" w:name="_Toc12048"/>
      <w:bookmarkStart w:id="13" w:name="_Toc416787277"/>
      <w:bookmarkStart w:id="14" w:name="_Toc434232554"/>
    </w:p>
    <w:p>
      <w:pPr>
        <w:pStyle w:val="49"/>
        <w:numPr>
          <w:ilvl w:val="0"/>
          <w:numId w:val="0"/>
        </w:numPr>
        <w:spacing w:line="360" w:lineRule="auto"/>
        <w:ind w:leftChars="0"/>
        <w:rPr>
          <w:rFonts w:hint="eastAsia" w:asciiTheme="minorEastAsia" w:hAnsiTheme="minorEastAsia"/>
          <w:szCs w:val="21"/>
        </w:rPr>
      </w:pPr>
    </w:p>
    <w:p>
      <w:pPr>
        <w:pStyle w:val="49"/>
        <w:numPr>
          <w:ilvl w:val="0"/>
          <w:numId w:val="0"/>
        </w:numPr>
        <w:spacing w:line="360" w:lineRule="auto"/>
        <w:ind w:leftChars="0"/>
        <w:rPr>
          <w:rFonts w:hint="eastAsia" w:asciiTheme="minorEastAsia" w:hAnsiTheme="minorEastAsia"/>
          <w:szCs w:val="21"/>
        </w:rPr>
      </w:pPr>
    </w:p>
    <w:p>
      <w:pPr>
        <w:pStyle w:val="49"/>
        <w:numPr>
          <w:ilvl w:val="0"/>
          <w:numId w:val="0"/>
        </w:numPr>
        <w:spacing w:line="360" w:lineRule="auto"/>
        <w:ind w:leftChars="0"/>
        <w:rPr>
          <w:rFonts w:hint="eastAsia" w:asciiTheme="minorEastAsia" w:hAnsiTheme="minorEastAsia"/>
          <w:szCs w:val="21"/>
        </w:rPr>
      </w:pPr>
    </w:p>
    <w:p>
      <w:pPr>
        <w:pStyle w:val="49"/>
        <w:numPr>
          <w:ilvl w:val="0"/>
          <w:numId w:val="0"/>
        </w:numPr>
        <w:spacing w:line="360" w:lineRule="auto"/>
        <w:ind w:leftChars="0"/>
        <w:rPr>
          <w:rFonts w:hint="eastAsia" w:asciiTheme="minorEastAsia" w:hAnsiTheme="minorEastAsia"/>
          <w:szCs w:val="21"/>
        </w:rPr>
      </w:pPr>
    </w:p>
    <w:p>
      <w:pPr>
        <w:pStyle w:val="2"/>
        <w:jc w:val="center"/>
        <w:rPr>
          <w:rFonts w:hint="default" w:eastAsia="宋体"/>
          <w:lang w:val="en-US" w:eastAsia="zh-CN"/>
        </w:rPr>
      </w:pP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rPr>
        <w:t>评</w:t>
      </w:r>
      <w:r>
        <w:rPr>
          <w:rFonts w:hint="eastAsia"/>
          <w:lang w:val="en-US" w:eastAsia="zh-CN"/>
        </w:rPr>
        <w:t>审办法</w:t>
      </w:r>
    </w:p>
    <w:p>
      <w:pPr>
        <w:pStyle w:val="60"/>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eastAsia="zh-CN"/>
        </w:rPr>
        <w:t>遴选文件</w:t>
      </w:r>
      <w:r>
        <w:rPr>
          <w:rFonts w:hint="eastAsia" w:ascii="宋体" w:hAnsi="宋体"/>
          <w:color w:val="auto"/>
          <w:szCs w:val="21"/>
        </w:rPr>
        <w:t>全部实质性要求且按评审因素的量化指标评审得分最高的报价人为成交候选报价人的评审方法。</w:t>
      </w:r>
    </w:p>
    <w:p>
      <w:pPr>
        <w:pStyle w:val="76"/>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整个评标过程按下列步骤进行：</w:t>
      </w:r>
    </w:p>
    <w:p>
      <w:pPr>
        <w:spacing w:line="360" w:lineRule="auto"/>
        <w:ind w:firstLine="630" w:firstLineChars="300"/>
        <w:rPr>
          <w:rFonts w:hint="eastAsia" w:ascii="宋体" w:hAnsi="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lang w:eastAsia="zh-CN"/>
        </w:rPr>
        <w:t>响应文件</w:t>
      </w:r>
      <w:r>
        <w:rPr>
          <w:rFonts w:hint="eastAsia" w:ascii="宋体" w:hAnsi="宋体"/>
          <w:color w:val="auto"/>
          <w:szCs w:val="21"/>
        </w:rPr>
        <w:t>的初步评审；</w:t>
      </w:r>
      <w:r>
        <w:rPr>
          <w:rFonts w:hint="eastAsia" w:ascii="宋体" w:hAnsi="宋体"/>
          <w:color w:val="auto"/>
          <w:szCs w:val="21"/>
          <w:lang w:val="en-US" w:eastAsia="zh-CN"/>
        </w:rPr>
        <w:t>标注“★”和资格要求不满足不进入详评。</w:t>
      </w:r>
    </w:p>
    <w:p>
      <w:pPr>
        <w:spacing w:line="360" w:lineRule="auto"/>
        <w:ind w:firstLine="630" w:firstLineChars="3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w:t>
      </w:r>
      <w:r>
        <w:rPr>
          <w:rFonts w:hint="eastAsia" w:ascii="宋体" w:hAnsi="宋体"/>
          <w:color w:val="auto"/>
          <w:szCs w:val="21"/>
          <w:lang w:eastAsia="zh-CN"/>
        </w:rPr>
        <w:t>响应文件</w:t>
      </w:r>
      <w:r>
        <w:rPr>
          <w:rFonts w:hint="eastAsia" w:ascii="宋体" w:hAnsi="宋体"/>
          <w:color w:val="auto"/>
          <w:szCs w:val="21"/>
        </w:rPr>
        <w:t>的详细评审；</w:t>
      </w:r>
    </w:p>
    <w:p>
      <w:pPr>
        <w:spacing w:line="360" w:lineRule="auto"/>
        <w:ind w:firstLine="630" w:firstLineChars="300"/>
        <w:rPr>
          <w:rFonts w:hint="eastAsia" w:ascii="宋体" w:hAnsi="宋体"/>
          <w:color w:val="4F0FBD"/>
          <w:szCs w:val="21"/>
        </w:rPr>
      </w:pPr>
      <w:r>
        <w:rPr>
          <w:rFonts w:hint="eastAsia" w:ascii="宋体" w:hAnsi="宋体"/>
          <w:color w:val="auto"/>
          <w:szCs w:val="21"/>
        </w:rPr>
        <w:t>3</w:t>
      </w:r>
      <w:r>
        <w:rPr>
          <w:rFonts w:hint="eastAsia" w:ascii="宋体" w:hAnsi="宋体"/>
          <w:color w:val="auto"/>
          <w:szCs w:val="21"/>
          <w:lang w:val="en-US" w:eastAsia="zh-CN"/>
        </w:rPr>
        <w:t>.</w:t>
      </w:r>
      <w:r>
        <w:rPr>
          <w:rFonts w:hint="eastAsia" w:ascii="宋体" w:hAnsi="宋体"/>
          <w:color w:val="auto"/>
          <w:szCs w:val="21"/>
        </w:rPr>
        <w:t>推荐中标候选</w:t>
      </w:r>
      <w:r>
        <w:rPr>
          <w:rFonts w:hint="eastAsia" w:ascii="宋体" w:hAnsi="宋体"/>
          <w:color w:val="auto"/>
          <w:szCs w:val="21"/>
          <w:lang w:val="en-US" w:eastAsia="zh-CN"/>
        </w:rPr>
        <w:t>供应商</w:t>
      </w:r>
      <w:r>
        <w:rPr>
          <w:rFonts w:hint="eastAsia" w:ascii="宋体" w:hAnsi="宋体"/>
          <w:color w:val="4F0FBD"/>
          <w:szCs w:val="21"/>
        </w:rPr>
        <w:t>。</w:t>
      </w:r>
      <w:bookmarkStart w:id="15" w:name="_Toc448322521"/>
    </w:p>
    <w:p>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bookmarkEnd w:id="15"/>
      <w:r>
        <w:rPr>
          <w:rFonts w:hint="eastAsia" w:ascii="宋体" w:hAnsi="宋体" w:eastAsia="宋体"/>
          <w:b/>
          <w:color w:val="auto"/>
          <w:sz w:val="21"/>
          <w:szCs w:val="21"/>
          <w:highlight w:val="none"/>
        </w:rPr>
        <w:t>价格部分</w:t>
      </w:r>
      <w:r>
        <w:rPr>
          <w:rFonts w:hint="eastAsia" w:ascii="宋体" w:hAnsi="宋体" w:eastAsia="宋体"/>
          <w:b/>
          <w:color w:val="auto"/>
          <w:sz w:val="21"/>
          <w:szCs w:val="21"/>
          <w:highlight w:val="none"/>
          <w:lang w:val="en-US" w:eastAsia="zh-CN"/>
        </w:rPr>
        <w:t>30</w:t>
      </w:r>
      <w:r>
        <w:rPr>
          <w:rFonts w:hint="eastAsia" w:ascii="宋体" w:hAnsi="宋体" w:eastAsia="宋体"/>
          <w:b/>
          <w:color w:val="auto"/>
          <w:sz w:val="21"/>
          <w:szCs w:val="21"/>
          <w:highlight w:val="none"/>
        </w:rPr>
        <w:t>分，商务部分</w:t>
      </w:r>
      <w:r>
        <w:rPr>
          <w:rFonts w:hint="eastAsia" w:ascii="宋体" w:hAnsi="宋体" w:eastAsia="宋体"/>
          <w:b/>
          <w:color w:val="auto"/>
          <w:sz w:val="21"/>
          <w:szCs w:val="21"/>
          <w:highlight w:val="none"/>
          <w:lang w:val="en-US" w:eastAsia="zh-CN"/>
        </w:rPr>
        <w:t>10</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技术部分</w:t>
      </w:r>
      <w:r>
        <w:rPr>
          <w:rFonts w:hint="eastAsia" w:ascii="宋体" w:hAnsi="宋体"/>
          <w:b/>
          <w:color w:val="auto"/>
          <w:sz w:val="21"/>
          <w:szCs w:val="21"/>
          <w:highlight w:val="none"/>
          <w:lang w:val="en-US" w:eastAsia="zh-CN"/>
        </w:rPr>
        <w:t>60</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p>
    <w:p>
      <w:pPr>
        <w:widowControl/>
        <w:spacing w:line="360" w:lineRule="auto"/>
        <w:ind w:firstLine="211" w:firstLineChars="100"/>
        <w:jc w:val="left"/>
        <w:rPr>
          <w:rFonts w:ascii="宋体" w:hAnsi="宋体"/>
          <w:b/>
          <w:color w:val="auto"/>
          <w:kern w:val="0"/>
          <w:szCs w:val="21"/>
        </w:rPr>
      </w:pPr>
      <w:r>
        <w:rPr>
          <w:rFonts w:hint="eastAsia" w:ascii="宋体" w:hAnsi="宋体"/>
          <w:b/>
          <w:color w:val="auto"/>
          <w:kern w:val="0"/>
          <w:szCs w:val="21"/>
        </w:rPr>
        <w:t>注：1.实质性响应</w:t>
      </w:r>
      <w:r>
        <w:rPr>
          <w:rFonts w:hint="eastAsia" w:ascii="宋体" w:hAnsi="宋体"/>
          <w:b/>
          <w:color w:val="auto"/>
          <w:kern w:val="0"/>
          <w:szCs w:val="21"/>
          <w:lang w:eastAsia="zh-CN"/>
        </w:rPr>
        <w:t>遴选文件</w:t>
      </w:r>
      <w:r>
        <w:rPr>
          <w:rFonts w:hint="eastAsia" w:ascii="宋体" w:hAnsi="宋体"/>
          <w:b/>
          <w:color w:val="auto"/>
          <w:kern w:val="0"/>
          <w:szCs w:val="21"/>
        </w:rPr>
        <w:t>要求</w:t>
      </w:r>
    </w:p>
    <w:p>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2.投标人报价低于成本的除外</w:t>
      </w:r>
    </w:p>
    <w:p>
      <w:pPr>
        <w:widowControl/>
        <w:spacing w:line="360" w:lineRule="auto"/>
        <w:ind w:firstLine="632" w:firstLineChars="300"/>
        <w:jc w:val="left"/>
        <w:rPr>
          <w:rFonts w:hint="eastAsia" w:ascii="宋体" w:hAnsi="宋体"/>
          <w:b/>
          <w:color w:val="auto"/>
          <w:kern w:val="0"/>
          <w:szCs w:val="21"/>
        </w:rPr>
      </w:pPr>
      <w:r>
        <w:rPr>
          <w:rFonts w:hint="eastAsia" w:ascii="宋体" w:hAnsi="宋体"/>
          <w:b/>
          <w:color w:val="auto"/>
          <w:kern w:val="0"/>
          <w:szCs w:val="21"/>
        </w:rPr>
        <w:t>3.最低报价不作为中标的保证</w:t>
      </w:r>
    </w:p>
    <w:p>
      <w:pPr>
        <w:widowControl/>
        <w:spacing w:line="360" w:lineRule="auto"/>
        <w:ind w:firstLine="0" w:firstLineChars="0"/>
        <w:jc w:val="center"/>
        <w:rPr>
          <w:rFonts w:hint="eastAsia" w:ascii="宋体" w:hAnsi="宋体"/>
          <w:b/>
          <w:color w:val="auto"/>
          <w:kern w:val="0"/>
          <w:szCs w:val="21"/>
        </w:rPr>
      </w:pPr>
      <w:r>
        <w:rPr>
          <w:rFonts w:hint="eastAsia" w:ascii="宋体" w:hAnsi="宋体" w:eastAsia="宋体" w:cs="仿宋"/>
          <w:color w:val="auto"/>
          <w:kern w:val="2"/>
          <w:sz w:val="32"/>
          <w:szCs w:val="32"/>
          <w:lang w:val="en-US" w:eastAsia="zh-CN" w:bidi="ar-SA"/>
        </w:rPr>
        <w:t>评分办法</w:t>
      </w:r>
    </w:p>
    <w:tbl>
      <w:tblPr>
        <w:tblStyle w:val="30"/>
        <w:tblpPr w:leftFromText="180" w:rightFromText="180" w:vertAnchor="text" w:horzAnchor="page" w:tblpXSpec="center" w:tblpY="547"/>
        <w:tblOverlap w:val="never"/>
        <w:tblW w:w="9147" w:type="dxa"/>
        <w:jc w:val="center"/>
        <w:tblLayout w:type="fixed"/>
        <w:tblCellMar>
          <w:top w:w="0" w:type="dxa"/>
          <w:left w:w="108" w:type="dxa"/>
          <w:bottom w:w="0" w:type="dxa"/>
          <w:right w:w="108" w:type="dxa"/>
        </w:tblCellMar>
      </w:tblPr>
      <w:tblGrid>
        <w:gridCol w:w="1089"/>
        <w:gridCol w:w="1367"/>
        <w:gridCol w:w="6691"/>
      </w:tblGrid>
      <w:tr>
        <w:tblPrEx>
          <w:tblCellMar>
            <w:top w:w="0" w:type="dxa"/>
            <w:left w:w="108" w:type="dxa"/>
            <w:bottom w:w="0" w:type="dxa"/>
            <w:right w:w="108" w:type="dxa"/>
          </w:tblCellMar>
        </w:tblPrEx>
        <w:trPr>
          <w:trHeight w:val="20"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评分类别</w:t>
            </w:r>
          </w:p>
        </w:tc>
        <w:tc>
          <w:tcPr>
            <w:tcW w:w="1367"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评</w:t>
            </w:r>
            <w:r>
              <w:rPr>
                <w:rFonts w:hint="eastAsia" w:asciiTheme="minorEastAsia" w:hAnsiTheme="minorEastAsia" w:eastAsiaTheme="minorEastAsia" w:cstheme="minorEastAsia"/>
                <w:color w:val="auto"/>
                <w:szCs w:val="21"/>
                <w:lang w:val="en-US" w:eastAsia="zh-CN"/>
              </w:rPr>
              <w:t>审因素及分值</w:t>
            </w:r>
          </w:p>
        </w:tc>
        <w:tc>
          <w:tcPr>
            <w:tcW w:w="669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评分原则</w:t>
            </w:r>
          </w:p>
        </w:tc>
      </w:tr>
      <w:tr>
        <w:tblPrEx>
          <w:tblCellMar>
            <w:top w:w="0" w:type="dxa"/>
            <w:left w:w="108" w:type="dxa"/>
            <w:bottom w:w="0" w:type="dxa"/>
            <w:right w:w="108" w:type="dxa"/>
          </w:tblCellMar>
        </w:tblPrEx>
        <w:trPr>
          <w:trHeight w:val="20" w:hRule="atLeast"/>
          <w:jc w:val="center"/>
        </w:trPr>
        <w:tc>
          <w:tcPr>
            <w:tcW w:w="1089" w:type="dxa"/>
            <w:vMerge w:val="restart"/>
            <w:tcBorders>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价格部分（30分）</w:t>
            </w:r>
          </w:p>
        </w:tc>
        <w:tc>
          <w:tcPr>
            <w:tcW w:w="1367"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常年法律顾问服务费报价（20分）</w:t>
            </w:r>
          </w:p>
        </w:tc>
        <w:tc>
          <w:tcPr>
            <w:tcW w:w="6691" w:type="dxa"/>
            <w:tcBorders>
              <w:top w:val="single" w:color="auto" w:sz="4" w:space="0"/>
              <w:left w:val="nil"/>
              <w:bottom w:val="single" w:color="auto" w:sz="4" w:space="0"/>
              <w:right w:val="single" w:color="auto" w:sz="4" w:space="0"/>
            </w:tcBorders>
            <w:noWrap w:val="0"/>
            <w:vAlign w:val="center"/>
          </w:tcPr>
          <w:p>
            <w:pPr>
              <w:spacing w:line="276"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常年法律顾问服务费报价得分：满足遴选文件要求且价格最低的有效报价为基准价，其价格分为满分，其报价分按照下列公式计算：报价得分=(评标基准价／投标报价)×20</w:t>
            </w:r>
          </w:p>
        </w:tc>
      </w:tr>
      <w:tr>
        <w:tblPrEx>
          <w:tblCellMar>
            <w:top w:w="0" w:type="dxa"/>
            <w:left w:w="108" w:type="dxa"/>
            <w:bottom w:w="0" w:type="dxa"/>
            <w:right w:w="108" w:type="dxa"/>
          </w:tblCellMar>
        </w:tblPrEx>
        <w:trPr>
          <w:trHeight w:val="20" w:hRule="atLeast"/>
          <w:jc w:val="center"/>
        </w:trPr>
        <w:tc>
          <w:tcPr>
            <w:tcW w:w="1089"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highlight w:val="none"/>
                <w:lang w:val="en-US" w:eastAsia="zh-CN"/>
              </w:rPr>
            </w:pPr>
          </w:p>
        </w:tc>
        <w:tc>
          <w:tcPr>
            <w:tcW w:w="1367"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计时收费及代理争议案件费用报价（10分）</w:t>
            </w:r>
          </w:p>
        </w:tc>
        <w:tc>
          <w:tcPr>
            <w:tcW w:w="6691" w:type="dxa"/>
            <w:tcBorders>
              <w:top w:val="single" w:color="auto" w:sz="4" w:space="0"/>
              <w:left w:val="nil"/>
              <w:bottom w:val="single" w:color="auto" w:sz="4" w:space="0"/>
              <w:right w:val="single" w:color="auto" w:sz="4" w:space="0"/>
            </w:tcBorders>
            <w:noWrap w:val="0"/>
            <w:vAlign w:val="center"/>
          </w:tcPr>
          <w:p>
            <w:pPr>
              <w:spacing w:line="276"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计时收费及代理争议案件费用报价得分:满足遴选文件要求且按收费标准报价下浮比例</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下浮最高的有效报价为基准价，其价格分为满分。其报价分按照下列公式计算： 报价得分=(投标报价／评标基准价)×10</w:t>
            </w:r>
          </w:p>
        </w:tc>
      </w:tr>
      <w:tr>
        <w:tblPrEx>
          <w:tblCellMar>
            <w:top w:w="0" w:type="dxa"/>
            <w:left w:w="108" w:type="dxa"/>
            <w:bottom w:w="0" w:type="dxa"/>
            <w:right w:w="108" w:type="dxa"/>
          </w:tblCellMar>
        </w:tblPrEx>
        <w:trPr>
          <w:trHeight w:val="20" w:hRule="atLeast"/>
          <w:jc w:val="center"/>
        </w:trPr>
        <w:tc>
          <w:tcPr>
            <w:tcW w:w="1089" w:type="dxa"/>
            <w:tcBorders>
              <w:top w:val="nil"/>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商务部分</w:t>
            </w:r>
            <w:r>
              <w:rPr>
                <w:rFonts w:hint="eastAsia" w:asciiTheme="minorEastAsia" w:hAnsiTheme="minorEastAsia" w:eastAsiaTheme="minorEastAsia" w:cstheme="minorEastAsia"/>
                <w:color w:val="auto"/>
                <w:szCs w:val="21"/>
                <w:lang w:val="en-US" w:eastAsia="zh-CN"/>
              </w:rPr>
              <w:t>（10分）</w:t>
            </w:r>
          </w:p>
        </w:tc>
        <w:tc>
          <w:tcPr>
            <w:tcW w:w="1367"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业绩</w:t>
            </w:r>
          </w:p>
          <w:p>
            <w:pPr>
              <w:spacing w:line="276" w:lineRule="auto"/>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val="en-US" w:eastAsia="zh-CN"/>
              </w:rPr>
              <w:t>（10分）</w:t>
            </w:r>
          </w:p>
        </w:tc>
        <w:tc>
          <w:tcPr>
            <w:tcW w:w="6691" w:type="dxa"/>
            <w:tcBorders>
              <w:top w:val="single" w:color="auto" w:sz="4" w:space="0"/>
              <w:left w:val="nil"/>
              <w:bottom w:val="single" w:color="auto" w:sz="4" w:space="0"/>
              <w:right w:val="single" w:color="auto" w:sz="4" w:space="0"/>
            </w:tcBorders>
            <w:noWrap w:val="0"/>
            <w:vAlign w:val="center"/>
          </w:tcPr>
          <w:p>
            <w:pPr>
              <w:pStyle w:val="12"/>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2022年9月至今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类似法律顾问服务业绩进行评审，响应文件中应提供业绩合同复印件加盖单位公章。</w:t>
            </w:r>
          </w:p>
          <w:p>
            <w:pPr>
              <w:pStyle w:val="12"/>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每提供1个业绩得2分，</w:t>
            </w:r>
            <w:r>
              <w:rPr>
                <w:rFonts w:hint="eastAsia" w:asciiTheme="minorEastAsia" w:hAnsiTheme="minorEastAsia" w:eastAsiaTheme="minorEastAsia" w:cstheme="minorEastAsia"/>
                <w:color w:val="auto"/>
                <w:szCs w:val="21"/>
                <w:highlight w:val="none"/>
              </w:rPr>
              <w:t>最高分</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w:t>
            </w:r>
          </w:p>
          <w:p>
            <w:pPr>
              <w:pStyle w:val="12"/>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highlight w:val="none"/>
                <w:lang w:val="en-US" w:eastAsia="zh-CN"/>
              </w:rPr>
              <w:t>注：响应文件中应提供合同首页、盖章</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val="en-US" w:eastAsia="zh-CN"/>
              </w:rPr>
              <w:t>页</w:t>
            </w:r>
            <w:r>
              <w:rPr>
                <w:rFonts w:hint="eastAsia" w:asciiTheme="minorEastAsia" w:hAnsiTheme="minorEastAsia" w:eastAsiaTheme="minorEastAsia" w:cstheme="minorEastAsia"/>
                <w:color w:val="auto"/>
                <w:szCs w:val="21"/>
                <w:highlight w:val="none"/>
              </w:rPr>
              <w:t>、合同签订日期</w:t>
            </w:r>
            <w:r>
              <w:rPr>
                <w:rFonts w:hint="eastAsia" w:asciiTheme="minorEastAsia" w:hAnsiTheme="minorEastAsia" w:eastAsiaTheme="minorEastAsia" w:cstheme="minorEastAsia"/>
                <w:color w:val="auto"/>
                <w:szCs w:val="21"/>
                <w:highlight w:val="none"/>
                <w:lang w:val="en-US" w:eastAsia="zh-CN"/>
              </w:rPr>
              <w:t>页复印件、业绩复印件并加盖本单位公章，否则不予认可。</w:t>
            </w:r>
          </w:p>
        </w:tc>
      </w:tr>
      <w:tr>
        <w:tblPrEx>
          <w:tblCellMar>
            <w:top w:w="0" w:type="dxa"/>
            <w:left w:w="108" w:type="dxa"/>
            <w:bottom w:w="0" w:type="dxa"/>
            <w:right w:w="108" w:type="dxa"/>
          </w:tblCellMar>
        </w:tblPrEx>
        <w:trPr>
          <w:trHeight w:val="787" w:hRule="atLeast"/>
          <w:jc w:val="center"/>
        </w:trPr>
        <w:tc>
          <w:tcPr>
            <w:tcW w:w="1089"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技术部分（60分）</w:t>
            </w:r>
          </w:p>
        </w:tc>
        <w:tc>
          <w:tcPr>
            <w:tcW w:w="1367"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需求响应</w:t>
            </w:r>
          </w:p>
          <w:p>
            <w:pPr>
              <w:spacing w:line="276"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16分</w:t>
            </w:r>
            <w:r>
              <w:rPr>
                <w:rFonts w:hint="eastAsia" w:asciiTheme="minorEastAsia" w:hAnsiTheme="minorEastAsia" w:eastAsiaTheme="minorEastAsia" w:cstheme="minorEastAsia"/>
                <w:color w:val="auto"/>
                <w:szCs w:val="21"/>
                <w:highlight w:val="none"/>
                <w:lang w:eastAsia="zh-CN"/>
              </w:rPr>
              <w:t>）</w:t>
            </w:r>
          </w:p>
        </w:tc>
        <w:tc>
          <w:tcPr>
            <w:tcW w:w="6691" w:type="dxa"/>
            <w:tcBorders>
              <w:top w:val="single" w:color="auto" w:sz="4" w:space="0"/>
              <w:left w:val="nil"/>
              <w:bottom w:val="single" w:color="auto" w:sz="4" w:space="0"/>
              <w:right w:val="single" w:color="auto" w:sz="4" w:space="0"/>
            </w:tcBorders>
            <w:noWrap w:val="0"/>
            <w:vAlign w:val="center"/>
          </w:tcPr>
          <w:p>
            <w:pPr>
              <w:pStyle w:val="12"/>
              <w:ind w:firstLine="420" w:firstLineChars="200"/>
              <w:rPr>
                <w:rFonts w:hint="eastAsia" w:asciiTheme="minorEastAsia" w:hAnsiTheme="minorEastAsia" w:eastAsiaTheme="minorEastAsia" w:cstheme="minorEastAsia"/>
                <w:color w:val="auto"/>
                <w:szCs w:val="21"/>
                <w:highlight w:val="yellow"/>
                <w:lang w:val="en-US" w:eastAsia="zh-CN"/>
              </w:rPr>
            </w:pPr>
            <w:r>
              <w:rPr>
                <w:rFonts w:hint="eastAsia" w:asciiTheme="minorEastAsia" w:hAnsiTheme="minorEastAsia" w:eastAsiaTheme="minorEastAsia" w:cstheme="minorEastAsia"/>
                <w:color w:val="auto"/>
                <w:szCs w:val="21"/>
                <w:highlight w:val="none"/>
              </w:rPr>
              <w:t>根据对</w:t>
            </w:r>
            <w:r>
              <w:rPr>
                <w:rFonts w:hint="eastAsia" w:asciiTheme="minorEastAsia" w:hAnsiTheme="minorEastAsia" w:eastAsiaTheme="minorEastAsia" w:cstheme="minorEastAsia"/>
                <w:color w:val="auto"/>
                <w:szCs w:val="21"/>
                <w:highlight w:val="none"/>
                <w:lang w:eastAsia="zh-CN"/>
              </w:rPr>
              <w:t>遴选文件</w:t>
            </w:r>
            <w:r>
              <w:rPr>
                <w:rFonts w:hint="eastAsia" w:asciiTheme="minorEastAsia" w:hAnsiTheme="minorEastAsia" w:cstheme="minorEastAsia"/>
                <w:color w:val="auto"/>
                <w:szCs w:val="21"/>
                <w:highlight w:val="none"/>
                <w:lang w:val="en-US" w:eastAsia="zh-CN"/>
              </w:rPr>
              <w:t>服务要求和服务团队</w:t>
            </w:r>
            <w:r>
              <w:rPr>
                <w:rFonts w:hint="eastAsia" w:asciiTheme="minorEastAsia" w:hAnsiTheme="minorEastAsia" w:eastAsiaTheme="minorEastAsia" w:cstheme="minorEastAsia"/>
                <w:color w:val="auto"/>
                <w:szCs w:val="21"/>
                <w:highlight w:val="none"/>
              </w:rPr>
              <w:t>进行综合评审</w:t>
            </w:r>
            <w:r>
              <w:rPr>
                <w:rFonts w:hint="eastAsia" w:asciiTheme="minorEastAsia" w:hAnsiTheme="minorEastAsia" w:cstheme="minorEastAsia"/>
                <w:color w:val="auto"/>
                <w:szCs w:val="21"/>
                <w:highlight w:val="none"/>
                <w:lang w:val="en-US" w:eastAsia="zh-CN"/>
              </w:rPr>
              <w:t>打分</w:t>
            </w:r>
            <w:r>
              <w:rPr>
                <w:rFonts w:hint="eastAsia" w:asciiTheme="minorEastAsia" w:hAnsiTheme="minorEastAsia" w:eastAsiaTheme="minorEastAsia" w:cstheme="minorEastAsia"/>
                <w:color w:val="auto"/>
                <w:szCs w:val="21"/>
                <w:highlight w:val="none"/>
              </w:rPr>
              <w:t>，最高得</w:t>
            </w: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分，一项</w:t>
            </w:r>
            <w:r>
              <w:rPr>
                <w:rFonts w:hint="eastAsia" w:asciiTheme="minorEastAsia" w:hAnsiTheme="minorEastAsia" w:eastAsiaTheme="minorEastAsia" w:cstheme="minorEastAsia"/>
                <w:color w:val="auto"/>
                <w:highlight w:val="none"/>
              </w:rPr>
              <w:t>非</w:t>
            </w:r>
            <w:r>
              <w:rPr>
                <w:rFonts w:hint="eastAsia" w:asciiTheme="minorEastAsia" w:hAnsiTheme="minorEastAsia" w:eastAsiaTheme="minorEastAsia" w:cstheme="minorEastAsia"/>
                <w:color w:val="auto"/>
                <w:szCs w:val="21"/>
                <w:highlight w:val="none"/>
              </w:rPr>
              <w:t>#指标不满足扣</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分，扣完为止。</w:t>
            </w:r>
          </w:p>
        </w:tc>
      </w:tr>
      <w:tr>
        <w:tblPrEx>
          <w:tblCellMar>
            <w:top w:w="0" w:type="dxa"/>
            <w:left w:w="108" w:type="dxa"/>
            <w:bottom w:w="0" w:type="dxa"/>
            <w:right w:w="108" w:type="dxa"/>
          </w:tblCellMar>
        </w:tblPrEx>
        <w:trPr>
          <w:trHeight w:val="994" w:hRule="atLeast"/>
          <w:jc w:val="center"/>
        </w:trPr>
        <w:tc>
          <w:tcPr>
            <w:tcW w:w="1089" w:type="dxa"/>
            <w:vMerge w:val="continue"/>
            <w:tcBorders>
              <w:left w:val="single" w:color="auto" w:sz="4" w:space="0"/>
              <w:right w:val="single" w:color="auto" w:sz="4" w:space="0"/>
            </w:tcBorders>
            <w:noWrap w:val="0"/>
            <w:vAlign w:val="center"/>
          </w:tcPr>
          <w:p>
            <w:pPr>
              <w:spacing w:line="276" w:lineRule="auto"/>
              <w:rPr>
                <w:rFonts w:hint="eastAsia" w:asciiTheme="minorEastAsia" w:hAnsiTheme="minorEastAsia" w:eastAsiaTheme="minorEastAsia" w:cstheme="minorEastAsia"/>
                <w:color w:val="auto"/>
                <w:szCs w:val="21"/>
                <w:lang w:val="en-US" w:eastAsia="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对</w:t>
            </w:r>
            <w:r>
              <w:rPr>
                <w:rFonts w:hint="eastAsia" w:asciiTheme="minorEastAsia" w:hAnsiTheme="minorEastAsia" w:eastAsiaTheme="minorEastAsia" w:cstheme="minorEastAsia"/>
                <w:color w:val="auto"/>
              </w:rPr>
              <w:t>项目</w:t>
            </w:r>
            <w:r>
              <w:rPr>
                <w:rFonts w:hint="eastAsia" w:asciiTheme="minorEastAsia" w:hAnsiTheme="minorEastAsia" w:eastAsiaTheme="minorEastAsia" w:cstheme="minorEastAsia"/>
                <w:color w:val="auto"/>
                <w:lang w:val="en-US" w:eastAsia="zh-CN"/>
              </w:rPr>
              <w:t>的整体认知和</w:t>
            </w:r>
            <w:r>
              <w:rPr>
                <w:rFonts w:hint="eastAsia" w:asciiTheme="minorEastAsia" w:hAnsiTheme="minorEastAsia" w:eastAsiaTheme="minorEastAsia" w:cstheme="minorEastAsia"/>
                <w:color w:val="auto"/>
              </w:rPr>
              <w:t>实施方案</w:t>
            </w:r>
          </w:p>
          <w:p>
            <w:pPr>
              <w:spacing w:line="276"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tc>
        <w:tc>
          <w:tcPr>
            <w:tcW w:w="669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对本项目的理解程度、重点难点分析等方面进行综合评审：</w:t>
            </w:r>
          </w:p>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1.对本项目解读进行了详细的阐述，能够正确理解项目需求且全面，思路清晰，重点突出，合理分析现状，得10 分；</w:t>
            </w:r>
          </w:p>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2.对本项目解读虽进行了阐述但未能贴合项目实际情况进行详细论述，工作理解较全面、基本理解项目需求，思路较清晰，项目重点掌握一般，现状分析一般，得 7 分；</w:t>
            </w:r>
          </w:p>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3.对本项目解读虽进行了阐述但未能贴合项目实际情况进行详细论述，工作理解较差，思路不清晰，项目重点未能完全掌握，现状分析较差，得 4 分；</w:t>
            </w:r>
          </w:p>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4.对本项目解读虽进行了阐述但仅为对采购需求的简单复制，得 1 分；</w:t>
            </w:r>
          </w:p>
          <w:p>
            <w:pPr>
              <w:spacing w:line="276"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未提供得 0 分。</w:t>
            </w:r>
          </w:p>
        </w:tc>
      </w:tr>
      <w:tr>
        <w:tblPrEx>
          <w:tblCellMar>
            <w:top w:w="0" w:type="dxa"/>
            <w:left w:w="108" w:type="dxa"/>
            <w:bottom w:w="0" w:type="dxa"/>
            <w:right w:w="108" w:type="dxa"/>
          </w:tblCellMar>
        </w:tblPrEx>
        <w:trPr>
          <w:trHeight w:val="338" w:hRule="atLeast"/>
          <w:jc w:val="center"/>
        </w:trPr>
        <w:tc>
          <w:tcPr>
            <w:tcW w:w="1089" w:type="dxa"/>
            <w:vMerge w:val="continue"/>
            <w:tcBorders>
              <w:left w:val="single" w:color="auto" w:sz="4" w:space="0"/>
              <w:right w:val="single" w:color="auto" w:sz="4" w:space="0"/>
            </w:tcBorders>
            <w:noWrap w:val="0"/>
            <w:vAlign w:val="center"/>
          </w:tcPr>
          <w:p>
            <w:pPr>
              <w:spacing w:line="276" w:lineRule="auto"/>
              <w:rPr>
                <w:rFonts w:hint="eastAsia" w:asciiTheme="minorEastAsia" w:hAnsiTheme="minorEastAsia" w:eastAsiaTheme="minorEastAsia" w:cstheme="minorEastAsia"/>
                <w:color w:val="auto"/>
                <w:szCs w:val="21"/>
                <w:lang w:val="en-US" w:eastAsia="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项目服务团队</w:t>
            </w:r>
          </w:p>
          <w:p>
            <w:pPr>
              <w:spacing w:line="276"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（8分）</w:t>
            </w:r>
          </w:p>
        </w:tc>
        <w:tc>
          <w:tcPr>
            <w:tcW w:w="6691" w:type="dxa"/>
            <w:tcBorders>
              <w:top w:val="single" w:color="auto" w:sz="4" w:space="0"/>
              <w:left w:val="nil"/>
              <w:bottom w:val="single" w:color="auto" w:sz="4" w:space="0"/>
              <w:right w:val="single" w:color="auto" w:sz="4" w:space="0"/>
            </w:tcBorders>
            <w:shd w:val="clear" w:color="auto" w:fill="auto"/>
            <w:noWrap w:val="0"/>
            <w:vAlign w:val="top"/>
          </w:tcPr>
          <w:p>
            <w:pPr>
              <w:adjustRightInd w:val="0"/>
              <w:snapToGri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highlight w:val="none"/>
                <w:lang w:val="en-US" w:eastAsia="zh-CN"/>
              </w:rPr>
              <w:t xml:space="preserve">    1.</w:t>
            </w:r>
            <w:r>
              <w:rPr>
                <w:rFonts w:hint="eastAsia" w:asciiTheme="minorEastAsia" w:hAnsiTheme="minorEastAsia" w:eastAsiaTheme="minorEastAsia" w:cstheme="minorEastAsia"/>
                <w:kern w:val="0"/>
                <w:szCs w:val="21"/>
              </w:rPr>
              <w:t>项目成员配备充分，专业构成完整，成员工作资历、职务职称、从业经历等与项目需求匹配性强，竞争力强，得</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rPr>
              <w:t>分；</w:t>
            </w:r>
          </w:p>
          <w:p>
            <w:pPr>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团队人员整体配备数量及专业匹配性水平一般，得</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p>
            <w:pPr>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团队成员构成不完整且不能完全匹配服务需求，得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未提供，</w:t>
            </w:r>
            <w:r>
              <w:rPr>
                <w:rFonts w:hint="eastAsia" w:asciiTheme="minorEastAsia" w:hAnsiTheme="minorEastAsia" w:eastAsiaTheme="minorEastAsia" w:cstheme="minorEastAsia"/>
                <w:szCs w:val="21"/>
                <w:lang w:val="en-US" w:eastAsia="zh-CN"/>
              </w:rPr>
              <w:t>不</w:t>
            </w:r>
            <w:r>
              <w:rPr>
                <w:rFonts w:hint="eastAsia" w:asciiTheme="minorEastAsia" w:hAnsiTheme="minorEastAsia" w:eastAsiaTheme="minorEastAsia" w:cstheme="minorEastAsia"/>
                <w:szCs w:val="21"/>
              </w:rPr>
              <w:t>得分。</w:t>
            </w:r>
          </w:p>
          <w:p>
            <w:pPr>
              <w:spacing w:line="276" w:lineRule="auto"/>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szCs w:val="21"/>
              </w:rPr>
              <w:t>注：需提供</w:t>
            </w:r>
            <w:r>
              <w:rPr>
                <w:rFonts w:hint="eastAsia" w:asciiTheme="minorEastAsia" w:hAnsiTheme="minorEastAsia" w:eastAsiaTheme="minorEastAsia" w:cstheme="minorEastAsia"/>
                <w:szCs w:val="21"/>
                <w:lang w:val="en-US" w:eastAsia="zh-CN"/>
              </w:rPr>
              <w:t>除主办律师外</w:t>
            </w:r>
            <w:r>
              <w:rPr>
                <w:rFonts w:hint="eastAsia" w:asciiTheme="minorEastAsia" w:hAnsiTheme="minorEastAsia" w:eastAsiaTheme="minorEastAsia" w:cstheme="minorEastAsia"/>
                <w:szCs w:val="21"/>
              </w:rPr>
              <w:t>以上人员具有的同类项目从业经验以及其法律咨询从业经验（可对团队服务过的项目案例进行简要说明）、从业年限、职位、学历证明、案例合同等证明材料（包括但不限于履历表）</w:t>
            </w:r>
            <w:r>
              <w:rPr>
                <w:rFonts w:hint="eastAsia" w:asciiTheme="minorEastAsia" w:hAnsiTheme="minorEastAsia" w:eastAsiaTheme="minorEastAsia" w:cstheme="minorEastAsia"/>
                <w:szCs w:val="21"/>
                <w:lang w:eastAsia="zh-CN"/>
              </w:rPr>
              <w:t>。</w:t>
            </w:r>
          </w:p>
        </w:tc>
      </w:tr>
      <w:tr>
        <w:tblPrEx>
          <w:tblCellMar>
            <w:top w:w="0" w:type="dxa"/>
            <w:left w:w="108" w:type="dxa"/>
            <w:bottom w:w="0" w:type="dxa"/>
            <w:right w:w="108" w:type="dxa"/>
          </w:tblCellMar>
        </w:tblPrEx>
        <w:trPr>
          <w:trHeight w:val="1321" w:hRule="atLeast"/>
          <w:jc w:val="center"/>
        </w:trPr>
        <w:tc>
          <w:tcPr>
            <w:tcW w:w="1089" w:type="dxa"/>
            <w:vMerge w:val="continue"/>
            <w:tcBorders>
              <w:left w:val="single" w:color="auto" w:sz="4" w:space="0"/>
              <w:right w:val="single" w:color="auto" w:sz="4" w:space="0"/>
            </w:tcBorders>
            <w:noWrap w:val="0"/>
            <w:vAlign w:val="center"/>
          </w:tcPr>
          <w:p>
            <w:pPr>
              <w:spacing w:line="276" w:lineRule="auto"/>
              <w:ind w:firstLine="420" w:firstLineChars="200"/>
              <w:rPr>
                <w:rFonts w:hint="eastAsia" w:asciiTheme="minorEastAsia" w:hAnsiTheme="minorEastAsia" w:eastAsiaTheme="minorEastAsia" w:cstheme="minorEastAsia"/>
              </w:rPr>
            </w:pPr>
          </w:p>
        </w:tc>
        <w:tc>
          <w:tcPr>
            <w:tcW w:w="1367" w:type="dxa"/>
            <w:tcBorders>
              <w:top w:val="single" w:color="auto" w:sz="4" w:space="0"/>
              <w:left w:val="nil"/>
              <w:right w:val="single" w:color="auto" w:sz="4" w:space="0"/>
            </w:tcBorders>
            <w:noWrap w:val="0"/>
            <w:vAlign w:val="center"/>
          </w:tcPr>
          <w:p>
            <w:pPr>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拟派</w:t>
            </w:r>
            <w:r>
              <w:rPr>
                <w:rFonts w:hint="eastAsia" w:asciiTheme="minorEastAsia" w:hAnsiTheme="minorEastAsia" w:eastAsiaTheme="minorEastAsia" w:cstheme="minorEastAsia"/>
              </w:rPr>
              <w:t>主办律师</w:t>
            </w:r>
          </w:p>
          <w:p>
            <w:pPr>
              <w:spacing w:line="276"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（9分</w:t>
            </w:r>
            <w:r>
              <w:rPr>
                <w:rFonts w:hint="eastAsia" w:asciiTheme="minorEastAsia" w:hAnsiTheme="minorEastAsia" w:eastAsiaTheme="minorEastAsia" w:cstheme="minorEastAsia"/>
                <w:lang w:eastAsia="zh-CN"/>
              </w:rPr>
              <w:t>）</w:t>
            </w:r>
          </w:p>
        </w:tc>
        <w:tc>
          <w:tcPr>
            <w:tcW w:w="6691" w:type="dxa"/>
            <w:tcBorders>
              <w:top w:val="single" w:color="auto" w:sz="4" w:space="0"/>
              <w:left w:val="nil"/>
              <w:bottom w:val="single" w:color="auto" w:sz="4" w:space="0"/>
              <w:right w:val="single" w:color="auto" w:sz="4" w:space="0"/>
            </w:tcBorders>
            <w:shd w:val="clear" w:color="auto" w:fill="auto"/>
            <w:noWrap w:val="0"/>
            <w:vAlign w:val="top"/>
          </w:tcPr>
          <w:p>
            <w:pPr>
              <w:numPr>
                <w:ilvl w:val="0"/>
                <w:numId w:val="0"/>
              </w:numPr>
              <w:adjustRightInd w:val="0"/>
              <w:snapToGrid w:val="0"/>
              <w:ind w:firstLine="420" w:firstLineChars="200"/>
              <w:jc w:val="left"/>
              <w:rPr>
                <w:rFonts w:hint="eastAsia" w:asciiTheme="minorEastAsia" w:hAnsiTheme="minorEastAsia" w:eastAsiaTheme="minorEastAsia" w:cstheme="minorEastAsia"/>
                <w:color w:val="auto"/>
                <w:kern w:val="2"/>
                <w:szCs w:val="21"/>
              </w:rPr>
            </w:pPr>
            <w:r>
              <w:rPr>
                <w:rFonts w:hint="eastAsia" w:asciiTheme="minorEastAsia" w:hAnsiTheme="minorEastAsia" w:eastAsiaTheme="minorEastAsia" w:cstheme="minorEastAsia"/>
                <w:color w:val="auto"/>
                <w:kern w:val="2"/>
                <w:szCs w:val="21"/>
                <w:lang w:val="en-US" w:eastAsia="zh-CN"/>
              </w:rPr>
              <w:t>1.</w:t>
            </w:r>
            <w:r>
              <w:rPr>
                <w:rFonts w:hint="eastAsia" w:asciiTheme="minorEastAsia" w:hAnsiTheme="minorEastAsia" w:cstheme="minorEastAsia"/>
                <w:color w:val="auto"/>
                <w:kern w:val="2"/>
                <w:szCs w:val="21"/>
                <w:lang w:val="en-US" w:eastAsia="zh-CN"/>
              </w:rPr>
              <w:t>两名主办律师均须</w:t>
            </w:r>
            <w:r>
              <w:rPr>
                <w:rFonts w:hint="eastAsia" w:asciiTheme="minorEastAsia" w:hAnsiTheme="minorEastAsia" w:eastAsiaTheme="minorEastAsia" w:cstheme="minorEastAsia"/>
                <w:color w:val="auto"/>
                <w:sz w:val="21"/>
                <w:szCs w:val="21"/>
                <w:highlight w:val="none"/>
              </w:rPr>
              <w:t>具有法学或相关专业</w:t>
            </w:r>
            <w:r>
              <w:rPr>
                <w:rFonts w:hint="eastAsia" w:asciiTheme="minorEastAsia" w:hAnsiTheme="minorEastAsia" w:cstheme="minorEastAsia"/>
                <w:color w:val="auto"/>
                <w:sz w:val="21"/>
                <w:szCs w:val="21"/>
                <w:highlight w:val="none"/>
                <w:lang w:val="en-US" w:eastAsia="zh-CN"/>
              </w:rPr>
              <w:t>本科</w:t>
            </w:r>
            <w:r>
              <w:rPr>
                <w:rFonts w:hint="eastAsia" w:asciiTheme="minorEastAsia" w:hAnsiTheme="minorEastAsia" w:eastAsiaTheme="minorEastAsia" w:cstheme="minorEastAsia"/>
                <w:color w:val="auto"/>
                <w:sz w:val="21"/>
                <w:szCs w:val="21"/>
                <w:highlight w:val="none"/>
              </w:rPr>
              <w:t>及以上学历。</w:t>
            </w:r>
            <w:r>
              <w:rPr>
                <w:rFonts w:hint="eastAsia" w:asciiTheme="minorEastAsia" w:hAnsiTheme="minorEastAsia" w:eastAsiaTheme="minorEastAsia" w:cstheme="minorEastAsia"/>
                <w:color w:val="auto"/>
                <w:sz w:val="21"/>
                <w:szCs w:val="21"/>
              </w:rPr>
              <w:t>须提供学历证书复印件。</w:t>
            </w:r>
            <w:r>
              <w:rPr>
                <w:rFonts w:hint="eastAsia" w:asciiTheme="minorEastAsia" w:hAnsiTheme="minorEastAsia" w:eastAsiaTheme="minorEastAsia" w:cstheme="minorEastAsia"/>
                <w:color w:val="auto"/>
                <w:kern w:val="2"/>
                <w:szCs w:val="21"/>
              </w:rPr>
              <w:t xml:space="preserve"> </w:t>
            </w:r>
          </w:p>
          <w:p>
            <w:pPr>
              <w:numPr>
                <w:ilvl w:val="0"/>
                <w:numId w:val="0"/>
              </w:numPr>
              <w:adjustRightInd w:val="0"/>
              <w:snapToGrid w:val="0"/>
              <w:ind w:firstLine="420" w:firstLineChars="200"/>
              <w:jc w:val="left"/>
              <w:rPr>
                <w:rFonts w:hint="eastAsia" w:asciiTheme="minorEastAsia" w:hAnsiTheme="minorEastAsia" w:eastAsiaTheme="minorEastAsia" w:cstheme="minorEastAsia"/>
                <w:color w:val="auto"/>
                <w:kern w:val="2"/>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cstheme="minorEastAsia"/>
                <w:color w:val="auto"/>
                <w:kern w:val="2"/>
                <w:szCs w:val="21"/>
                <w:lang w:val="en-US" w:eastAsia="zh-CN"/>
              </w:rPr>
              <w:t>两名主办律师均须</w:t>
            </w:r>
            <w:r>
              <w:rPr>
                <w:rFonts w:hint="eastAsia" w:asciiTheme="minorEastAsia" w:hAnsiTheme="minorEastAsia" w:eastAsiaTheme="minorEastAsia" w:cstheme="minorEastAsia"/>
                <w:color w:val="auto"/>
                <w:sz w:val="21"/>
                <w:szCs w:val="21"/>
              </w:rPr>
              <w:t>具有与本次采购项目相类似的成功案例或专项法律服务经验。须提供相关项目经验证明文件（如合同关键页、用户证明等）。</w:t>
            </w:r>
          </w:p>
          <w:p>
            <w:pPr>
              <w:numPr>
                <w:ilvl w:val="0"/>
                <w:numId w:val="0"/>
              </w:numPr>
              <w:adjustRightInd w:val="0"/>
              <w:snapToGrid w:val="0"/>
              <w:ind w:firstLine="420" w:firstLineChars="200"/>
              <w:jc w:val="left"/>
              <w:rPr>
                <w:rFonts w:hint="eastAsia" w:asciiTheme="minorEastAsia" w:hAnsiTheme="minorEastAsia" w:eastAsiaTheme="minorEastAsia" w:cstheme="minorEastAsia"/>
                <w:color w:val="auto"/>
                <w:kern w:val="2"/>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cstheme="minorEastAsia"/>
                <w:color w:val="auto"/>
                <w:kern w:val="2"/>
                <w:szCs w:val="21"/>
                <w:lang w:val="en-US" w:eastAsia="zh-CN"/>
              </w:rPr>
              <w:t>两名主办律师均须</w:t>
            </w:r>
            <w:r>
              <w:rPr>
                <w:rFonts w:hint="eastAsia" w:asciiTheme="minorEastAsia" w:hAnsiTheme="minorEastAsia" w:eastAsiaTheme="minorEastAsia" w:cstheme="minorEastAsia"/>
                <w:color w:val="auto"/>
                <w:sz w:val="21"/>
                <w:szCs w:val="21"/>
              </w:rPr>
              <w:t>从事律师或相关专业服务工作年限累计满</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年（含）以上。须提供由所属律师事务所或社保缴纳机构出具的有效服务年限证明。</w:t>
            </w:r>
            <w:r>
              <w:rPr>
                <w:rFonts w:hint="eastAsia" w:asciiTheme="minorEastAsia" w:hAnsiTheme="minorEastAsia" w:eastAsiaTheme="minorEastAsia" w:cstheme="minorEastAsia"/>
                <w:color w:val="auto"/>
                <w:kern w:val="2"/>
                <w:szCs w:val="21"/>
              </w:rPr>
              <w:t xml:space="preserve"> </w:t>
            </w:r>
          </w:p>
          <w:p>
            <w:pPr>
              <w:numPr>
                <w:ilvl w:val="0"/>
                <w:numId w:val="0"/>
              </w:numPr>
              <w:adjustRightInd w:val="0"/>
              <w:snapToGrid w:val="0"/>
              <w:spacing w:line="240" w:lineRule="auto"/>
              <w:ind w:firstLine="420" w:firstLineChars="200"/>
              <w:jc w:val="left"/>
              <w:rPr>
                <w:rFonts w:hint="eastAsia" w:asciiTheme="minorEastAsia" w:hAnsiTheme="minorEastAsia" w:eastAsiaTheme="minorEastAsia" w:cstheme="minorEastAsia"/>
                <w:color w:val="auto"/>
                <w:kern w:val="2"/>
                <w:szCs w:val="21"/>
              </w:rPr>
            </w:pPr>
            <w:r>
              <w:rPr>
                <w:rFonts w:hint="eastAsia" w:asciiTheme="minorEastAsia" w:hAnsiTheme="minorEastAsia" w:eastAsiaTheme="minorEastAsia" w:cstheme="minorEastAsia"/>
                <w:color w:val="auto"/>
                <w:kern w:val="2"/>
                <w:szCs w:val="21"/>
              </w:rPr>
              <w:t>符合全部条件的得</w:t>
            </w:r>
            <w:r>
              <w:rPr>
                <w:rFonts w:hint="eastAsia" w:asciiTheme="minorEastAsia" w:hAnsiTheme="minorEastAsia" w:eastAsiaTheme="minorEastAsia" w:cstheme="minorEastAsia"/>
                <w:color w:val="auto"/>
                <w:kern w:val="0"/>
                <w:szCs w:val="21"/>
                <w:lang w:val="en-US" w:eastAsia="zh-CN"/>
              </w:rPr>
              <w:t>9</w:t>
            </w:r>
            <w:r>
              <w:rPr>
                <w:rFonts w:hint="eastAsia" w:asciiTheme="minorEastAsia" w:hAnsiTheme="minorEastAsia" w:eastAsiaTheme="minorEastAsia" w:cstheme="minorEastAsia"/>
                <w:color w:val="auto"/>
                <w:kern w:val="2"/>
                <w:szCs w:val="21"/>
              </w:rPr>
              <w:t>分，一项不满足扣</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2"/>
                <w:szCs w:val="21"/>
              </w:rPr>
              <w:t xml:space="preserve">分。 </w:t>
            </w:r>
          </w:p>
          <w:p>
            <w:pPr>
              <w:numPr>
                <w:ilvl w:val="0"/>
                <w:numId w:val="0"/>
              </w:numPr>
              <w:adjustRightInd w:val="0"/>
              <w:snapToGrid w:val="0"/>
              <w:spacing w:line="240" w:lineRule="auto"/>
              <w:ind w:firstLine="42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Cs w:val="21"/>
              </w:rPr>
              <w:t>（需提供相关证明材料，包括但不限于主办律师的“学历证书”复印件、有效的服务年限证明文件及从业经验证明文件等。）</w:t>
            </w:r>
          </w:p>
        </w:tc>
      </w:tr>
      <w:tr>
        <w:tblPrEx>
          <w:tblCellMar>
            <w:top w:w="0" w:type="dxa"/>
            <w:left w:w="108" w:type="dxa"/>
            <w:bottom w:w="0" w:type="dxa"/>
            <w:right w:w="108" w:type="dxa"/>
          </w:tblCellMar>
        </w:tblPrEx>
        <w:trPr>
          <w:trHeight w:val="1176" w:hRule="atLeast"/>
          <w:jc w:val="center"/>
        </w:trPr>
        <w:tc>
          <w:tcPr>
            <w:tcW w:w="1089" w:type="dxa"/>
            <w:vMerge w:val="continue"/>
            <w:tcBorders>
              <w:left w:val="single" w:color="auto" w:sz="4" w:space="0"/>
              <w:right w:val="single" w:color="auto" w:sz="4" w:space="0"/>
            </w:tcBorders>
            <w:noWrap w:val="0"/>
            <w:vAlign w:val="center"/>
          </w:tcPr>
          <w:p>
            <w:pPr>
              <w:spacing w:line="276" w:lineRule="auto"/>
              <w:rPr>
                <w:rFonts w:hint="eastAsia" w:asciiTheme="minorEastAsia" w:hAnsiTheme="minorEastAsia" w:eastAsiaTheme="minorEastAsia" w:cstheme="minorEastAsia"/>
                <w:color w:val="auto"/>
                <w:szCs w:val="21"/>
                <w:lang w:val="en-US" w:eastAsia="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风险控制</w:t>
            </w:r>
          </w:p>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方案评价</w:t>
            </w:r>
          </w:p>
          <w:p>
            <w:pPr>
              <w:widowControl/>
              <w:spacing w:line="288" w:lineRule="auto"/>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val="en-US" w:eastAsia="zh-CN"/>
              </w:rPr>
              <w:t>（7分）</w:t>
            </w:r>
          </w:p>
        </w:tc>
        <w:tc>
          <w:tcPr>
            <w:tcW w:w="6691" w:type="dxa"/>
            <w:tcBorders>
              <w:top w:val="nil"/>
              <w:left w:val="nil"/>
              <w:bottom w:val="single" w:color="auto" w:sz="4" w:space="0"/>
              <w:right w:val="single" w:color="auto" w:sz="4" w:space="0"/>
            </w:tcBorders>
            <w:noWrap w:val="0"/>
            <w:vAlign w:val="center"/>
          </w:tcPr>
          <w:p>
            <w:pPr>
              <w:widowControl/>
              <w:spacing w:line="288"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对本项目可能发生的风险情况分析，提供的应对措施方案、解决方法的可行性及合理性进行评价：</w:t>
            </w:r>
          </w:p>
          <w:p>
            <w:pPr>
              <w:widowControl/>
              <w:spacing w:line="288"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1.上述内容均进行详细阐述且充分满足采购需求得7分；</w:t>
            </w:r>
          </w:p>
          <w:p>
            <w:pPr>
              <w:widowControl/>
              <w:spacing w:line="288"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2.上述内容均进行阐述，但内容中的具体实施细节及措施描述与实际情况存在一定偏差，得4分；</w:t>
            </w:r>
          </w:p>
          <w:p>
            <w:pPr>
              <w:widowControl/>
              <w:spacing w:line="288"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3.提供相关方案但未贴合项目实际情况进行论述，或内容中未包括具体实施细节及措施，得1分；</w:t>
            </w:r>
          </w:p>
          <w:p>
            <w:pPr>
              <w:widowControl/>
              <w:spacing w:line="288" w:lineRule="auto"/>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4.未提供，不得分。</w:t>
            </w:r>
          </w:p>
        </w:tc>
      </w:tr>
      <w:tr>
        <w:tblPrEx>
          <w:tblCellMar>
            <w:top w:w="0" w:type="dxa"/>
            <w:left w:w="108" w:type="dxa"/>
            <w:bottom w:w="0" w:type="dxa"/>
            <w:right w:w="108" w:type="dxa"/>
          </w:tblCellMar>
        </w:tblPrEx>
        <w:trPr>
          <w:trHeight w:val="1570" w:hRule="atLeast"/>
          <w:jc w:val="center"/>
        </w:trPr>
        <w:tc>
          <w:tcPr>
            <w:tcW w:w="1089" w:type="dxa"/>
            <w:vMerge w:val="continue"/>
            <w:tcBorders>
              <w:left w:val="single" w:color="auto" w:sz="4" w:space="0"/>
              <w:right w:val="single" w:color="auto" w:sz="4" w:space="0"/>
            </w:tcBorders>
            <w:noWrap w:val="0"/>
            <w:vAlign w:val="center"/>
          </w:tcPr>
          <w:p>
            <w:pPr>
              <w:spacing w:line="276" w:lineRule="auto"/>
              <w:rPr>
                <w:rFonts w:hint="eastAsia" w:asciiTheme="minorEastAsia" w:hAnsiTheme="minorEastAsia" w:eastAsiaTheme="minorEastAsia" w:cstheme="minorEastAsia"/>
                <w:color w:val="auto"/>
                <w:szCs w:val="21"/>
                <w:lang w:val="en-US"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保密制度</w:t>
            </w:r>
          </w:p>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及措施</w:t>
            </w:r>
          </w:p>
          <w:p>
            <w:pPr>
              <w:widowControl/>
              <w:spacing w:line="288" w:lineRule="auto"/>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val="en-US" w:eastAsia="zh-CN"/>
              </w:rPr>
              <w:t>（5分）</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420" w:firstLineChars="200"/>
              <w:jc w:val="left"/>
              <w:rPr>
                <w:rFonts w:hint="eastAsia" w:asciiTheme="minorEastAsia" w:hAnsiTheme="minorEastAsia" w:eastAsiaTheme="minorEastAsia" w:cstheme="minorEastAsia"/>
                <w:color w:val="auto"/>
                <w:szCs w:val="21"/>
                <w:lang w:val="zh-CN" w:eastAsia="zh-CN"/>
              </w:rPr>
            </w:pPr>
            <w:r>
              <w:rPr>
                <w:rFonts w:hint="eastAsia" w:asciiTheme="minorEastAsia" w:hAnsiTheme="minorEastAsia" w:eastAsiaTheme="minorEastAsia" w:cstheme="minorEastAsia"/>
                <w:color w:val="auto"/>
                <w:szCs w:val="21"/>
                <w:lang w:val="en-US" w:eastAsia="zh-CN"/>
              </w:rPr>
              <w:t>从包括</w:t>
            </w:r>
            <w:r>
              <w:rPr>
                <w:rFonts w:hint="eastAsia" w:asciiTheme="minorEastAsia" w:hAnsiTheme="minorEastAsia" w:eastAsiaTheme="minorEastAsia" w:cstheme="minorEastAsia"/>
                <w:color w:val="auto"/>
                <w:szCs w:val="21"/>
                <w:lang w:val="zh-CN" w:eastAsia="zh-CN"/>
              </w:rPr>
              <w:t>保密制度完善、保密措施有效、可行性</w:t>
            </w:r>
            <w:r>
              <w:rPr>
                <w:rFonts w:hint="eastAsia" w:asciiTheme="minorEastAsia" w:hAnsiTheme="minorEastAsia" w:eastAsiaTheme="minorEastAsia" w:cstheme="minorEastAsia"/>
                <w:color w:val="auto"/>
                <w:szCs w:val="21"/>
                <w:lang w:val="en-US" w:eastAsia="zh-CN"/>
              </w:rPr>
              <w:t>等</w:t>
            </w:r>
            <w:r>
              <w:rPr>
                <w:rFonts w:hint="eastAsia" w:asciiTheme="minorEastAsia" w:hAnsiTheme="minorEastAsia" w:eastAsiaTheme="minorEastAsia" w:cstheme="minorEastAsia"/>
                <w:color w:val="auto"/>
                <w:szCs w:val="21"/>
                <w:lang w:val="zh-CN" w:eastAsia="zh-CN"/>
              </w:rPr>
              <w:t>方面进行评分：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zh-CN"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val="zh-CN" w:eastAsia="zh-CN"/>
              </w:rPr>
              <w:t xml:space="preserve">保密制度措施全面、制度完善、方案详细得 </w:t>
            </w:r>
            <w:r>
              <w:rPr>
                <w:rFonts w:hint="eastAsia" w:asciiTheme="minorEastAsia" w:hAnsiTheme="minorEastAsia" w:eastAsiaTheme="minorEastAsia" w:cstheme="minorEastAsia"/>
                <w:color w:val="auto"/>
                <w:szCs w:val="21"/>
                <w:lang w:val="en-US" w:eastAsia="zh-CN"/>
              </w:rPr>
              <w:t xml:space="preserve">5 </w:t>
            </w:r>
            <w:r>
              <w:rPr>
                <w:rFonts w:hint="eastAsia" w:asciiTheme="minorEastAsia" w:hAnsiTheme="minorEastAsia" w:eastAsiaTheme="minorEastAsia" w:cstheme="minorEastAsia"/>
                <w:color w:val="auto"/>
                <w:szCs w:val="21"/>
                <w:lang w:val="zh-CN" w:eastAsia="zh-CN"/>
              </w:rPr>
              <w:t>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zh-CN"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val="zh-CN" w:eastAsia="zh-CN"/>
              </w:rPr>
              <w:t>保密制度措施基本全面、制度基本完善、方案一般，得</w:t>
            </w:r>
            <w:r>
              <w:rPr>
                <w:rFonts w:hint="eastAsia" w:asciiTheme="minorEastAsia" w:hAnsiTheme="minorEastAsia" w:eastAsiaTheme="minorEastAsia" w:cstheme="minorEastAsia"/>
                <w:color w:val="auto"/>
                <w:szCs w:val="21"/>
                <w:lang w:val="en-US" w:eastAsia="zh-CN"/>
              </w:rPr>
              <w:t xml:space="preserve">3 </w:t>
            </w:r>
            <w:r>
              <w:rPr>
                <w:rFonts w:hint="eastAsia" w:asciiTheme="minorEastAsia" w:hAnsiTheme="minorEastAsia" w:eastAsiaTheme="minorEastAsia" w:cstheme="minorEastAsia"/>
                <w:color w:val="auto"/>
                <w:szCs w:val="21"/>
                <w:lang w:val="zh-CN" w:eastAsia="zh-CN"/>
              </w:rPr>
              <w:t>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zh-CN"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lang w:val="zh-CN" w:eastAsia="zh-CN"/>
              </w:rPr>
              <w:t xml:space="preserve">保密制度措施不全面、制度不完善、方案较差，得 </w:t>
            </w:r>
            <w:r>
              <w:rPr>
                <w:rFonts w:hint="eastAsia" w:asciiTheme="minorEastAsia" w:hAnsiTheme="minorEastAsia" w:eastAsiaTheme="minorEastAsia" w:cstheme="minorEastAsia"/>
                <w:color w:val="auto"/>
                <w:szCs w:val="21"/>
                <w:lang w:val="en-US" w:eastAsia="zh-CN"/>
              </w:rPr>
              <w:t xml:space="preserve">1 </w:t>
            </w:r>
            <w:r>
              <w:rPr>
                <w:rFonts w:hint="eastAsia" w:asciiTheme="minorEastAsia" w:hAnsiTheme="minorEastAsia" w:eastAsiaTheme="minorEastAsia" w:cstheme="minorEastAsia"/>
                <w:color w:val="auto"/>
                <w:szCs w:val="21"/>
                <w:lang w:val="zh-CN" w:eastAsia="zh-CN"/>
              </w:rPr>
              <w:t>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zh-CN" w:eastAsia="zh-CN"/>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lang w:val="zh-CN" w:eastAsia="zh-CN"/>
              </w:rPr>
              <w:t>未提供，</w:t>
            </w:r>
            <w:r>
              <w:rPr>
                <w:rFonts w:hint="eastAsia" w:asciiTheme="minorEastAsia" w:hAnsiTheme="minorEastAsia" w:eastAsiaTheme="minorEastAsia" w:cstheme="minorEastAsia"/>
                <w:color w:val="auto"/>
                <w:szCs w:val="21"/>
                <w:lang w:val="en-US" w:eastAsia="zh-CN"/>
              </w:rPr>
              <w:t>不</w:t>
            </w:r>
            <w:r>
              <w:rPr>
                <w:rFonts w:hint="eastAsia" w:asciiTheme="minorEastAsia" w:hAnsiTheme="minorEastAsia" w:eastAsiaTheme="minorEastAsia" w:cstheme="minorEastAsia"/>
                <w:color w:val="auto"/>
                <w:szCs w:val="21"/>
                <w:lang w:val="zh-CN" w:eastAsia="zh-CN"/>
              </w:rPr>
              <w:t>得分。</w:t>
            </w:r>
          </w:p>
        </w:tc>
      </w:tr>
      <w:tr>
        <w:tblPrEx>
          <w:tblCellMar>
            <w:top w:w="0" w:type="dxa"/>
            <w:left w:w="108" w:type="dxa"/>
            <w:bottom w:w="0" w:type="dxa"/>
            <w:right w:w="108" w:type="dxa"/>
          </w:tblCellMar>
        </w:tblPrEx>
        <w:trPr>
          <w:trHeight w:val="2739" w:hRule="atLeast"/>
          <w:jc w:val="center"/>
        </w:trPr>
        <w:tc>
          <w:tcPr>
            <w:tcW w:w="1089" w:type="dxa"/>
            <w:vMerge w:val="continue"/>
            <w:tcBorders>
              <w:left w:val="single" w:color="auto" w:sz="4" w:space="0"/>
              <w:bottom w:val="single" w:color="auto" w:sz="4" w:space="0"/>
              <w:right w:val="single" w:color="auto" w:sz="4" w:space="0"/>
            </w:tcBorders>
            <w:noWrap w:val="0"/>
            <w:vAlign w:val="center"/>
          </w:tcPr>
          <w:p>
            <w:pPr>
              <w:spacing w:line="276" w:lineRule="auto"/>
              <w:rPr>
                <w:rFonts w:hint="eastAsia" w:asciiTheme="minorEastAsia" w:hAnsiTheme="minorEastAsia" w:eastAsiaTheme="minorEastAsia" w:cstheme="minorEastAsia"/>
                <w:color w:val="auto"/>
                <w:szCs w:val="21"/>
                <w:lang w:val="en-US"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法律培训</w:t>
            </w:r>
          </w:p>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方案</w:t>
            </w:r>
          </w:p>
          <w:p>
            <w:pPr>
              <w:widowControl/>
              <w:spacing w:line="288"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（5分）</w:t>
            </w:r>
          </w:p>
        </w:tc>
        <w:tc>
          <w:tcPr>
            <w:tcW w:w="6691" w:type="dxa"/>
            <w:tcBorders>
              <w:top w:val="single" w:color="auto" w:sz="4" w:space="0"/>
              <w:left w:val="single" w:color="auto" w:sz="4" w:space="0"/>
              <w:bottom w:val="single" w:color="auto" w:sz="4" w:space="0"/>
              <w:right w:val="single" w:color="auto" w:sz="4" w:space="0"/>
            </w:tcBorders>
            <w:noWrap w:val="0"/>
            <w:vAlign w:val="center"/>
          </w:tcPr>
          <w:p>
            <w:pPr>
              <w:widowControl/>
              <w:spacing w:line="288"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在满足采购需求的基础上，根据投标人针对本项目提交的法律培训方案进行评价：</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1.上述内容均进行详细阐述且充分满足采购需求得5分；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2.上述内容均进行阐述，但内容中的具体实施细节及措施描述与实际情况存在一定偏差，得3分；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3.提供相关方案但未贴合项目实际情况进行论述，或内容中未包括具体实施细节及措施，得1分；</w:t>
            </w:r>
          </w:p>
          <w:p>
            <w:pPr>
              <w:widowControl/>
              <w:spacing w:line="288"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4.未提供，不得分。</w:t>
            </w:r>
          </w:p>
        </w:tc>
      </w:tr>
    </w:tbl>
    <w:p>
      <w:pPr>
        <w:pStyle w:val="20"/>
        <w:jc w:val="center"/>
        <w:rPr>
          <w:rFonts w:hint="default" w:ascii="宋体" w:hAnsi="宋体" w:eastAsia="宋体" w:cs="仿宋"/>
          <w:color w:val="auto"/>
          <w:kern w:val="2"/>
          <w:sz w:val="21"/>
          <w:szCs w:val="21"/>
          <w:lang w:val="en-US" w:eastAsia="zh-CN" w:bidi="ar-SA"/>
        </w:rPr>
      </w:pPr>
      <w:r>
        <w:rPr>
          <w:rFonts w:hint="eastAsia" w:ascii="宋体" w:hAnsi="宋体" w:cs="仿宋"/>
          <w:color w:val="auto"/>
          <w:kern w:val="2"/>
          <w:sz w:val="32"/>
          <w:szCs w:val="32"/>
          <w:lang w:val="en-US" w:eastAsia="zh-CN" w:bidi="ar-SA"/>
        </w:rPr>
        <w:t xml:space="preserve"> </w:t>
      </w:r>
    </w:p>
    <w:p>
      <w:pPr>
        <w:pStyle w:val="2"/>
        <w:numPr>
          <w:ilvl w:val="0"/>
          <w:numId w:val="5"/>
        </w:numPr>
        <w:jc w:val="center"/>
        <w:rPr>
          <w:rFonts w:hint="eastAsia"/>
          <w:highlight w:val="none"/>
          <w:lang w:val="en-US" w:eastAsia="zh-CN"/>
        </w:rPr>
      </w:pPr>
      <w:r>
        <w:rPr>
          <w:rFonts w:hint="eastAsia"/>
          <w:highlight w:val="none"/>
          <w:lang w:val="en-US" w:eastAsia="zh-CN"/>
        </w:rPr>
        <w:t xml:space="preserve"> 采购需求</w:t>
      </w:r>
    </w:p>
    <w:p>
      <w:pPr>
        <w:spacing w:line="360" w:lineRule="auto"/>
        <w:rPr>
          <w:rFonts w:hint="eastAsia" w:ascii="新宋体" w:hAnsi="新宋体" w:eastAsia="新宋体" w:cs="新宋体"/>
          <w:b/>
          <w:color w:val="auto"/>
          <w:sz w:val="24"/>
        </w:rPr>
      </w:pPr>
      <w:r>
        <w:rPr>
          <w:rFonts w:hint="eastAsia" w:ascii="新宋体" w:hAnsi="新宋体" w:eastAsia="新宋体" w:cs="新宋体"/>
          <w:b/>
          <w:sz w:val="24"/>
          <w:lang w:eastAsia="zh-CN"/>
        </w:rPr>
        <w:t>一、</w:t>
      </w:r>
      <w:r>
        <w:rPr>
          <w:rFonts w:hint="eastAsia" w:ascii="新宋体" w:hAnsi="新宋体" w:eastAsia="新宋体" w:cs="新宋体"/>
          <w:b/>
          <w:sz w:val="24"/>
        </w:rPr>
        <w:t>项目概况</w:t>
      </w:r>
    </w:p>
    <w:p>
      <w:pPr>
        <w:ind w:firstLine="480" w:firstLineChars="200"/>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本项目为北京按摩医院</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（下称采购人）常年</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法律顾问服务项目，供应商需根据北京市法治医院建设要求，结合</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工作实际情况，提供相关法律服务。</w:t>
      </w:r>
    </w:p>
    <w:p>
      <w:pPr>
        <w:pStyle w:val="29"/>
        <w:ind w:left="0" w:leftChars="0" w:firstLine="0" w:firstLineChars="0"/>
        <w:jc w:val="left"/>
        <w:rPr>
          <w:rFonts w:hint="eastAsia"/>
          <w:b/>
          <w:bCs/>
          <w:color w:val="auto"/>
          <w:lang w:val="en-US" w:eastAsia="zh-CN"/>
        </w:rPr>
      </w:pPr>
      <w:r>
        <w:rPr>
          <w:rFonts w:hint="eastAsia" w:ascii="宋体" w:hAnsi="宋体" w:eastAsia="宋体" w:cs="宋体"/>
          <w:b/>
          <w:bCs/>
          <w:color w:val="auto"/>
          <w:sz w:val="24"/>
          <w:szCs w:val="24"/>
          <w:lang w:val="en-US" w:eastAsia="zh-CN"/>
        </w:rPr>
        <w:t>二</w:t>
      </w:r>
      <w:r>
        <w:rPr>
          <w:rFonts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基本需</w:t>
      </w:r>
      <w:r>
        <w:rPr>
          <w:rFonts w:ascii="宋体" w:hAnsi="宋体" w:eastAsia="宋体" w:cs="宋体"/>
          <w:b/>
          <w:bCs/>
          <w:color w:val="auto"/>
          <w:sz w:val="24"/>
          <w:szCs w:val="24"/>
        </w:rPr>
        <w:t>求</w:t>
      </w:r>
    </w:p>
    <w:p>
      <w:pPr>
        <w:rPr>
          <w:rFonts w:hint="default"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项目预算：预算金额</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3</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0万元/年</w:t>
      </w:r>
      <w:r>
        <w:rPr>
          <w:rFonts w:hint="eastAsia" w:asciiTheme="minorEastAsia" w:hAnsiTheme="minorEastAsia" w:cstheme="minorEastAsia"/>
          <w:i w:val="0"/>
          <w:iCs w:val="0"/>
          <w:caps w:val="0"/>
          <w:color w:val="auto"/>
          <w:spacing w:val="0"/>
          <w:kern w:val="0"/>
          <w:sz w:val="24"/>
          <w:szCs w:val="24"/>
          <w:highlight w:val="none"/>
          <w:shd w:val="clear" w:fill="FFFFFF"/>
          <w:vertAlign w:val="baseline"/>
          <w:lang w:val="en-US" w:eastAsia="zh-CN" w:bidi="ar"/>
        </w:rPr>
        <w:t>，预算金额包括常年法律顾问服务费报价和计时收费及代理争议案件代理费报价的总和。</w:t>
      </w:r>
    </w:p>
    <w:p>
      <w:pPr>
        <w:rPr>
          <w:rFonts w:hint="default"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2</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服务期限：</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服务期3年，合同一年一签，经考核合格后可续签下一年度服务合同。</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3</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服务范围：</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采购人所需的全部</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法律相关业务，</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包括但不限于常年法律顾问服务、专项法律服务和诉讼代理法律服务</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，详见具体服务要求。</w:t>
      </w:r>
    </w:p>
    <w:p>
      <w:pPr>
        <w:ind w:firstLine="0" w:firstLineChars="0"/>
        <w:rPr>
          <w:rFonts w:hint="eastAsia" w:ascii="宋体" w:hAnsi="宋体" w:eastAsia="宋体" w:cs="宋体"/>
          <w:color w:val="auto"/>
          <w:sz w:val="24"/>
          <w:szCs w:val="24"/>
          <w:highlight w:val="none"/>
          <w:lang w:val="en-US" w:eastAsia="zh-CN"/>
        </w:rPr>
      </w:pPr>
      <w:r>
        <w:rPr>
          <w:rFonts w:hint="eastAsia" w:ascii="宋体" w:hAnsi="宋体"/>
          <w:color w:val="auto"/>
          <w:szCs w:val="21"/>
          <w:lang w:val="en-US" w:eastAsia="zh-CN"/>
        </w:rPr>
        <w:t>★</w:t>
      </w:r>
      <w:r>
        <w:rPr>
          <w:rFonts w:hint="eastAsia" w:asciiTheme="minorEastAsia" w:hAnsiTheme="minorEastAsia" w:cstheme="minorEastAsia"/>
          <w:i w:val="0"/>
          <w:iCs w:val="0"/>
          <w:caps w:val="0"/>
          <w:color w:val="auto"/>
          <w:spacing w:val="0"/>
          <w:kern w:val="0"/>
          <w:sz w:val="24"/>
          <w:szCs w:val="24"/>
          <w:highlight w:val="none"/>
          <w:shd w:val="clear" w:fill="FFFFFF"/>
          <w:vertAlign w:val="baseline"/>
          <w:lang w:val="en-US" w:eastAsia="zh-CN" w:bidi="ar"/>
        </w:rPr>
        <w:t>4.</w:t>
      </w:r>
      <w:r>
        <w:rPr>
          <w:rFonts w:hint="eastAsia" w:ascii="宋体" w:hAnsi="宋体" w:eastAsia="宋体" w:cs="宋体"/>
          <w:color w:val="auto"/>
          <w:sz w:val="24"/>
          <w:szCs w:val="24"/>
          <w:highlight w:val="none"/>
          <w:lang w:val="en-US" w:eastAsia="zh-CN"/>
        </w:rPr>
        <w:t>需执行的国家相关标准、行业标准、地方标准或者其他标准、规范：</w:t>
      </w:r>
    </w:p>
    <w:p>
      <w:pPr>
        <w:ind w:firstLine="0" w:firstLineChars="0"/>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color w:val="auto"/>
          <w:sz w:val="24"/>
          <w:szCs w:val="24"/>
          <w:highlight w:val="none"/>
          <w:lang w:val="en-US" w:eastAsia="zh-CN"/>
        </w:rPr>
        <w:t>（1）</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律师事务所需具备有效的</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律师事务所执业许可证</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ind w:firstLine="0" w:firstLineChars="0"/>
        <w:rPr>
          <w:rFonts w:hint="default" w:asciiTheme="minorEastAsia" w:hAnsiTheme="minorEastAsia" w:eastAsiaTheme="minorEastAsia" w:cstheme="minorEastAsia"/>
          <w:i w:val="0"/>
          <w:iCs w:val="0"/>
          <w:caps w:val="0"/>
          <w:color w:val="auto"/>
          <w:spacing w:val="0"/>
          <w:kern w:val="0"/>
          <w:sz w:val="24"/>
          <w:szCs w:val="24"/>
          <w:highlight w:val="yellow"/>
          <w:shd w:val="clear" w:fill="FFFFFF"/>
          <w:vertAlign w:val="baseline"/>
          <w:lang w:val="en-US" w:eastAsia="zh-CN" w:bidi="ar"/>
        </w:rPr>
      </w:pP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（2）</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拟派顾问律师</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需具备有效的</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律师执业</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许可证。</w:t>
      </w:r>
    </w:p>
    <w:p>
      <w:pPr>
        <w:pStyle w:val="29"/>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三、具体服务要求</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发生的各类法律</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争议</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纠纷(涉及医疗、劳动、知识</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产权</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、行政</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管理</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等日常运营的事项)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提出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法律论证</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意见和</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解决方案</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，根据需要</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出具律师函，参与谈判、协调、调解</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工作</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2.对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日常工作中的相关事务如信访等提供法律咨询</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意见</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、依法提</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法律建议或出具律师</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法律</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意见书；</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3.协助</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草拟、制订、审查、修改合同、章程等法律文件；</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4.参与</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对外磋商、谈判，进行法律分析、论证</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5.协助</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进行谈判、审查修改合作中所需的</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法律</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文件</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6.协助</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定期梳理管理运行各领域、各环节的核心法律风险；</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7.代表</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向第三方发送律师函或对第三方律师函进行回复</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8.根据</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的需求提供法制宣传培训，共同制订年度法律专题讲座计划。对管理人员、医护人员进行法律知识培训，每年至少开展1次</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9.不定期地向</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提供医疗事务有密切关系的法律信息(包括但不限于新颁布法律、法规和政策性文件及相应的法学资料)；</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10.代理</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所涉</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调解、</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诉讼、仲裁</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、执行等</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案件</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11.</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为采购人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建设</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项目中</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涉及的土地</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使用</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、基础建设或工程、环境影响等专项事务</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开展</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尽职调查、</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起草审查</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合同、</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办理</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评估审批、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参加</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征用谈判</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；为采购人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涉及</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的</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政府采购</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活动</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提供法律</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支撑</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支持</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12.</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供应商</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提供服务期间获悉</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的</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商业秘密或个人隐私负责有保密责任，</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未经采购人书面</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同意，不得向任何第三方披露；</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13.</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供应商</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需</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在接到采购人通知</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48小时</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内</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完成</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采购人</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要求的常规性工作内容。</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紧急事务随叫随到，电话保持全天畅通。</w:t>
      </w:r>
    </w:p>
    <w:p>
      <w:pPr>
        <w:pStyle w:val="29"/>
        <w:ind w:left="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四、服务团队</w:t>
      </w:r>
    </w:p>
    <w:p>
      <w:pPr>
        <w:rPr>
          <w:rFonts w:hint="default"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1</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供应商派出的服务团队应有擅长医疗、劳动、知识产权、行政管理、诉讼、工程建设等方面的民事、刑事、行政法律领域的律师组成。</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2</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服务团队至少3人，其中1人为团队负责人同时也是联系人，</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至少</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2名主办律师。</w:t>
      </w:r>
    </w:p>
    <w:p>
      <w:pP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3</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团队负责人执业年限</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7</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年以上同时具有医疗机构法律服务经验，</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至少</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2名主办律师执业年限在</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5</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年以上。</w:t>
      </w:r>
    </w:p>
    <w:p>
      <w:pPr>
        <w:rPr>
          <w:rFonts w:hint="eastAsia" w:asciiTheme="minorEastAsia" w:hAnsiTheme="minorEastAsia" w:eastAsiaTheme="minorEastAsia" w:cstheme="minorEastAsia"/>
          <w:i w:val="0"/>
          <w:iCs w:val="0"/>
          <w:caps w:val="0"/>
          <w:color w:val="0000FF"/>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4</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供应商要保证团队人员稳定性，不得随意更换。</w:t>
      </w:r>
    </w:p>
    <w:p>
      <w:pPr>
        <w:pStyle w:val="2"/>
        <w:numPr>
          <w:ilvl w:val="0"/>
          <w:numId w:val="6"/>
        </w:numPr>
        <w:rPr>
          <w:rFonts w:hint="eastAsia" w:ascii="宋体" w:hAnsi="宋体" w:eastAsia="宋体" w:cs="宋体"/>
          <w:highlight w:val="none"/>
        </w:rPr>
      </w:pPr>
      <w:r>
        <w:rPr>
          <w:highlight w:val="none"/>
        </w:rPr>
        <w:t xml:space="preserve">  </w:t>
      </w:r>
      <w:r>
        <w:rPr>
          <w:rFonts w:hint="eastAsia" w:ascii="宋体" w:hAnsi="宋体" w:eastAsia="宋体" w:cs="宋体"/>
          <w:highlight w:val="none"/>
        </w:rPr>
        <w:t>合同条款</w:t>
      </w:r>
    </w:p>
    <w:p>
      <w:pPr>
        <w:spacing w:before="312" w:beforeLines="100" w:after="156" w:afterLines="50" w:line="460" w:lineRule="exact"/>
        <w:jc w:val="center"/>
        <w:rPr>
          <w:rFonts w:hint="eastAsia" w:ascii="宋体" w:hAnsi="宋体" w:eastAsia="宋体" w:cs="宋体"/>
          <w:b/>
          <w:bCs/>
          <w:color w:val="auto"/>
          <w:kern w:val="10"/>
          <w:sz w:val="36"/>
          <w:szCs w:val="36"/>
          <w:highlight w:val="none"/>
        </w:rPr>
      </w:pPr>
      <w:bookmarkStart w:id="16" w:name="_Toc477168072"/>
      <w:r>
        <w:rPr>
          <w:rFonts w:hint="eastAsia" w:ascii="宋体" w:hAnsi="宋体" w:eastAsia="宋体" w:cs="宋体"/>
          <w:b/>
          <w:bCs/>
          <w:kern w:val="10"/>
          <w:sz w:val="36"/>
          <w:szCs w:val="36"/>
          <w:highlight w:val="none"/>
        </w:rPr>
        <w:t>北京按摩医院常年法律顾问</w:t>
      </w:r>
      <w:r>
        <w:rPr>
          <w:rFonts w:hint="eastAsia" w:ascii="宋体" w:hAnsi="宋体" w:eastAsia="宋体" w:cs="宋体"/>
          <w:b/>
          <w:bCs/>
          <w:color w:val="auto"/>
          <w:kern w:val="10"/>
          <w:sz w:val="36"/>
          <w:szCs w:val="36"/>
          <w:highlight w:val="none"/>
          <w:lang w:val="en-US" w:eastAsia="zh-CN"/>
        </w:rPr>
        <w:t>服务</w:t>
      </w:r>
      <w:r>
        <w:rPr>
          <w:rFonts w:hint="eastAsia" w:ascii="宋体" w:hAnsi="宋体" w:eastAsia="宋体" w:cs="宋体"/>
          <w:b/>
          <w:bCs/>
          <w:color w:val="auto"/>
          <w:kern w:val="10"/>
          <w:sz w:val="36"/>
          <w:szCs w:val="36"/>
          <w:highlight w:val="none"/>
        </w:rPr>
        <w:t>合同</w:t>
      </w:r>
    </w:p>
    <w:bookmarkEnd w:id="16"/>
    <w:p>
      <w:pPr>
        <w:shd w:val="clear" w:color="auto" w:fill="FFFFFF"/>
        <w:spacing w:line="360" w:lineRule="auto"/>
        <w:jc w:val="center"/>
        <w:rPr>
          <w:rFonts w:hint="eastAsia" w:ascii="宋体" w:hAnsi="宋体" w:eastAsia="宋体" w:cs="宋体"/>
          <w:b/>
          <w:bCs/>
          <w:color w:val="auto"/>
          <w:kern w:val="10"/>
          <w:sz w:val="44"/>
          <w:szCs w:val="44"/>
          <w:lang w:eastAsia="zh-CN"/>
        </w:rPr>
      </w:pPr>
      <w:r>
        <w:rPr>
          <w:rFonts w:hint="eastAsia" w:ascii="宋体" w:hAnsi="宋体" w:eastAsia="宋体" w:cs="宋体"/>
          <w:b/>
          <w:bCs/>
          <w:color w:val="auto"/>
          <w:kern w:val="10"/>
          <w:sz w:val="44"/>
          <w:szCs w:val="44"/>
          <w:lang w:eastAsia="zh-CN"/>
        </w:rPr>
        <w:t>（</w:t>
      </w:r>
      <w:r>
        <w:rPr>
          <w:rFonts w:hint="eastAsia" w:ascii="宋体" w:hAnsi="宋体" w:eastAsia="宋体" w:cs="宋体"/>
          <w:b/>
          <w:bCs/>
          <w:color w:val="auto"/>
          <w:kern w:val="10"/>
          <w:sz w:val="44"/>
          <w:szCs w:val="44"/>
          <w:lang w:val="en-US" w:eastAsia="zh-CN"/>
        </w:rPr>
        <w:t>合同模板</w:t>
      </w:r>
      <w:r>
        <w:rPr>
          <w:rFonts w:hint="eastAsia" w:ascii="宋体" w:hAnsi="宋体" w:eastAsia="宋体" w:cs="宋体"/>
          <w:b/>
          <w:bCs/>
          <w:color w:val="auto"/>
          <w:kern w:val="10"/>
          <w:sz w:val="44"/>
          <w:szCs w:val="44"/>
          <w:lang w:eastAsia="zh-CN"/>
        </w:rPr>
        <w:t>）</w:t>
      </w:r>
    </w:p>
    <w:p>
      <w:pPr>
        <w:spacing w:line="460" w:lineRule="exact"/>
        <w:ind w:firstLine="472" w:firstLineChars="196"/>
        <w:rPr>
          <w:rFonts w:hint="eastAsia" w:ascii="宋体" w:hAnsi="宋体" w:eastAsia="宋体" w:cs="宋体"/>
          <w:color w:val="auto"/>
          <w:sz w:val="24"/>
        </w:rPr>
      </w:pPr>
      <w:r>
        <w:rPr>
          <w:rFonts w:hint="eastAsia" w:ascii="宋体" w:hAnsi="宋体" w:eastAsia="宋体" w:cs="宋体"/>
          <w:b/>
          <w:color w:val="auto"/>
          <w:sz w:val="24"/>
        </w:rPr>
        <w:t>聘请方（甲方）</w:t>
      </w:r>
      <w:r>
        <w:rPr>
          <w:rFonts w:hint="eastAsia" w:ascii="宋体" w:hAnsi="宋体" w:eastAsia="宋体" w:cs="宋体"/>
          <w:color w:val="auto"/>
          <w:sz w:val="24"/>
        </w:rPr>
        <w:t>：</w:t>
      </w:r>
    </w:p>
    <w:p>
      <w:pPr>
        <w:spacing w:line="460" w:lineRule="exact"/>
        <w:ind w:firstLine="472" w:firstLineChars="196"/>
        <w:rPr>
          <w:rFonts w:hint="eastAsia" w:ascii="宋体" w:hAnsi="宋体" w:eastAsia="宋体" w:cs="宋体"/>
          <w:color w:val="auto"/>
          <w:sz w:val="24"/>
        </w:rPr>
      </w:pPr>
      <w:r>
        <w:rPr>
          <w:rFonts w:hint="eastAsia" w:ascii="宋体" w:hAnsi="宋体" w:eastAsia="宋体" w:cs="宋体"/>
          <w:b/>
          <w:color w:val="auto"/>
          <w:sz w:val="24"/>
        </w:rPr>
        <w:t>负责人：</w:t>
      </w:r>
      <w:r>
        <w:rPr>
          <w:rFonts w:hint="eastAsia" w:ascii="宋体" w:hAnsi="宋体" w:eastAsia="宋体" w:cs="宋体"/>
          <w:color w:val="auto"/>
          <w:sz w:val="24"/>
        </w:rPr>
        <w:t xml:space="preserve"> </w:t>
      </w:r>
    </w:p>
    <w:p>
      <w:pPr>
        <w:spacing w:line="460" w:lineRule="exact"/>
        <w:ind w:firstLine="472" w:firstLineChars="196"/>
        <w:rPr>
          <w:rFonts w:hint="eastAsia" w:ascii="宋体" w:hAnsi="宋体" w:eastAsia="宋体" w:cs="宋体"/>
          <w:color w:val="auto"/>
          <w:sz w:val="24"/>
        </w:rPr>
      </w:pPr>
      <w:r>
        <w:rPr>
          <w:rFonts w:hint="eastAsia" w:ascii="宋体" w:hAnsi="宋体" w:eastAsia="宋体" w:cs="宋体"/>
          <w:b/>
          <w:bCs/>
          <w:color w:val="auto"/>
          <w:sz w:val="24"/>
        </w:rPr>
        <w:t>受聘方（乙方）：</w:t>
      </w:r>
      <w:r>
        <w:rPr>
          <w:rFonts w:hint="eastAsia" w:ascii="宋体" w:hAnsi="宋体" w:eastAsia="宋体" w:cs="宋体"/>
          <w:color w:val="auto"/>
          <w:sz w:val="24"/>
        </w:rPr>
        <w:t xml:space="preserve"> </w:t>
      </w:r>
    </w:p>
    <w:p>
      <w:pPr>
        <w:spacing w:line="460" w:lineRule="exact"/>
        <w:ind w:firstLine="472" w:firstLineChars="196"/>
        <w:rPr>
          <w:rFonts w:hint="eastAsia" w:ascii="宋体" w:hAnsi="宋体" w:eastAsia="宋体" w:cs="宋体"/>
          <w:color w:val="auto"/>
          <w:sz w:val="24"/>
        </w:rPr>
      </w:pPr>
      <w:r>
        <w:rPr>
          <w:rFonts w:hint="eastAsia" w:ascii="宋体" w:hAnsi="宋体" w:eastAsia="宋体" w:cs="宋体"/>
          <w:b/>
          <w:color w:val="auto"/>
          <w:sz w:val="24"/>
        </w:rPr>
        <w:t>负责人：</w:t>
      </w:r>
    </w:p>
    <w:p>
      <w:pPr>
        <w:spacing w:line="46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 xml:space="preserve"> </w:t>
      </w:r>
    </w:p>
    <w:p>
      <w:pPr>
        <w:spacing w:line="460" w:lineRule="exact"/>
        <w:ind w:firstLine="480" w:firstLineChars="200"/>
        <w:rPr>
          <w:rFonts w:hint="eastAsia" w:ascii="宋体" w:hAnsi="宋体" w:eastAsia="宋体" w:cs="宋体"/>
          <w:color w:val="auto"/>
          <w:spacing w:val="-8"/>
          <w:sz w:val="24"/>
          <w:lang w:val="en-US" w:eastAsia="zh-CN"/>
        </w:rPr>
      </w:pPr>
      <w:r>
        <w:rPr>
          <w:rFonts w:hint="eastAsia" w:ascii="宋体" w:hAnsi="宋体" w:eastAsia="宋体" w:cs="宋体"/>
          <w:color w:val="auto"/>
          <w:sz w:val="24"/>
        </w:rPr>
        <w:t>根据中华人民共和国《民法典》、《律师法》等有关法律规定，甲方因业务发展和维护自身利益的需要，聘请乙方及其律师作为常年法律顾问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。双</w:t>
      </w:r>
      <w:r>
        <w:rPr>
          <w:rFonts w:hint="eastAsia" w:ascii="宋体" w:hAnsi="宋体" w:eastAsia="宋体" w:cs="宋体"/>
          <w:color w:val="auto"/>
          <w:spacing w:val="-6"/>
          <w:sz w:val="24"/>
        </w:rPr>
        <w:t>方按照诚实信用原则，经协商一致，立此合同，共同遵守。</w:t>
      </w:r>
      <w:r>
        <w:rPr>
          <w:rFonts w:hint="eastAsia" w:ascii="宋体" w:hAnsi="宋体" w:eastAsia="宋体" w:cs="宋体"/>
          <w:color w:val="auto"/>
          <w:spacing w:val="-8"/>
          <w:sz w:val="24"/>
          <w:lang w:val="en-US" w:eastAsia="zh-CN"/>
        </w:rPr>
        <w:t>成交通知书、遴选文件、乙方响应文件及承诺为本合同组成部分，与本合同具有同等法律效力。</w:t>
      </w:r>
    </w:p>
    <w:p>
      <w:pPr>
        <w:spacing w:line="460" w:lineRule="exact"/>
        <w:ind w:firstLine="456" w:firstLineChars="200"/>
        <w:rPr>
          <w:rFonts w:hint="eastAsia" w:ascii="宋体" w:hAnsi="宋体" w:eastAsia="宋体" w:cs="宋体"/>
          <w:color w:val="auto"/>
          <w:spacing w:val="-6"/>
          <w:sz w:val="24"/>
        </w:rPr>
      </w:pPr>
    </w:p>
    <w:p>
      <w:pPr>
        <w:spacing w:line="460" w:lineRule="exact"/>
        <w:ind w:firstLine="482" w:firstLineChars="200"/>
        <w:rPr>
          <w:rFonts w:hint="eastAsia" w:ascii="宋体" w:hAnsi="宋体" w:eastAsia="宋体" w:cs="宋体"/>
          <w:b/>
          <w:color w:val="auto"/>
          <w:sz w:val="24"/>
        </w:rPr>
      </w:pPr>
    </w:p>
    <w:p>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第一条  乙方的服务范围</w:t>
      </w:r>
    </w:p>
    <w:p>
      <w:pPr>
        <w:numPr>
          <w:ilvl w:val="0"/>
          <w:numId w:val="7"/>
        </w:numPr>
        <w:spacing w:line="460" w:lineRule="exact"/>
        <w:rPr>
          <w:rFonts w:hint="eastAsia" w:ascii="宋体" w:hAnsi="宋体" w:eastAsia="宋体" w:cs="宋体"/>
          <w:color w:val="auto"/>
          <w:sz w:val="24"/>
        </w:rPr>
      </w:pPr>
      <w:r>
        <w:rPr>
          <w:rFonts w:hint="eastAsia" w:ascii="宋体" w:hAnsi="宋体" w:eastAsia="宋体" w:cs="宋体"/>
          <w:color w:val="auto"/>
          <w:sz w:val="24"/>
        </w:rPr>
        <w:t xml:space="preserve">常年法律顾问服务内容如下： </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1.对甲方发生的各类法律争议纠纷(涉及医疗、劳动、知识产权、行政管理等日常运营的事项)提出法律论证意见和解决方案，根据需要出具律师函，参与谈判、协调、调解工作；</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2.对甲方日常工作中的相关事务如信访等提供法律咨询意见、依法提出法律建议或出具律师法律意见书；</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3.协助甲方草拟、制订、审查、修改合同、章程等法律文件；</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4.参与甲方对外磋商、谈判，进行法律分析、论证；</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5.协助甲方进行谈判、审查修改合作中所需的法律文件；</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6.协助甲方定期梳理管理运行各领域、各环节的核心法律风险；</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7.代表甲方向第三方发送律师函或对第三方律师函进行回复；</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8.根据甲方的需求提供法制宣传培训，共同制订年度法律专题讲座计划。对管理人员、医护人员进行法律知识培训，每年至少开展1次；</w:t>
      </w:r>
    </w:p>
    <w:p>
      <w:pPr>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9.不定期地向甲方提供医疗事务有密切关系的法律信息(包括但不限于新颁布法律、法规和政策性文件及相应的法学资料)。</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（二）未经双方协商同意，上述服务范围不包括甲方控股、参股的子公司，异地分支机构和其他关联企业的法律事务；如甲方需要，双方另行协商与签约。</w:t>
      </w:r>
    </w:p>
    <w:p>
      <w:pPr>
        <w:spacing w:line="460" w:lineRule="exact"/>
        <w:ind w:firstLine="480" w:firstLineChars="200"/>
        <w:rPr>
          <w:rFonts w:hint="eastAsia" w:ascii="宋体" w:hAnsi="宋体" w:eastAsia="宋体" w:cs="宋体"/>
          <w:sz w:val="24"/>
        </w:rPr>
      </w:pPr>
      <w:r>
        <w:rPr>
          <w:rFonts w:hint="eastAsia" w:ascii="宋体" w:hAnsi="宋体" w:eastAsia="宋体" w:cs="宋体"/>
          <w:color w:val="auto"/>
          <w:sz w:val="24"/>
        </w:rPr>
        <w:t>（三）上述服务范围不包括不包括甲方涉及民事、行政、刑事等必须进入诉讼或者行政复议、仲裁等程序的代理事务，也不包括甲方涉及在建工程、长期投资、融资、企业改</w:t>
      </w:r>
      <w:r>
        <w:rPr>
          <w:rFonts w:hint="eastAsia" w:ascii="宋体" w:hAnsi="宋体" w:eastAsia="宋体" w:cs="宋体"/>
          <w:sz w:val="24"/>
        </w:rPr>
        <w:t>制、重组、并购、破产、股票发行、上市及其他重大项目、合同的谈判、 论证等专项代理事务；如甲方需要，双方另行签订协议，费用标准详见附件。</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（四）为满足甲方各项持续性工作的法律服务需求，本合同到期前经甲方对乙方本年度工作进行考核，考核通过且符合甲方下一年度的法律服务需求的可以续签一下年度常年法律顾问服务合同。</w:t>
      </w:r>
    </w:p>
    <w:p>
      <w:pPr>
        <w:spacing w:line="460" w:lineRule="exact"/>
        <w:ind w:firstLine="479" w:firstLineChars="199"/>
        <w:rPr>
          <w:rFonts w:hint="eastAsia" w:ascii="宋体" w:hAnsi="宋体" w:eastAsia="宋体" w:cs="宋体"/>
          <w:b/>
          <w:sz w:val="24"/>
        </w:rPr>
      </w:pPr>
    </w:p>
    <w:p>
      <w:pPr>
        <w:spacing w:line="460" w:lineRule="exact"/>
        <w:ind w:firstLine="479" w:firstLineChars="199"/>
        <w:rPr>
          <w:rFonts w:hint="eastAsia" w:ascii="宋体" w:hAnsi="宋体" w:eastAsia="宋体" w:cs="宋体"/>
          <w:b/>
          <w:sz w:val="24"/>
        </w:rPr>
      </w:pPr>
      <w:r>
        <w:rPr>
          <w:rFonts w:hint="eastAsia" w:ascii="宋体" w:hAnsi="宋体" w:eastAsia="宋体" w:cs="宋体"/>
          <w:b/>
          <w:sz w:val="24"/>
        </w:rPr>
        <w:t>第二条  常年法律顾问费用的确定与支付方式</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（一）法律顾问费：本期合同期限内为人民币</w:t>
      </w:r>
      <w:r>
        <w:rPr>
          <w:rFonts w:hint="eastAsia" w:ascii="宋体" w:hAnsi="宋体" w:eastAsia="宋体" w:cs="宋体"/>
          <w:sz w:val="24"/>
          <w:u w:val="single"/>
        </w:rPr>
        <w:t xml:space="preserve">      </w:t>
      </w:r>
      <w:r>
        <w:rPr>
          <w:rFonts w:hint="eastAsia" w:ascii="宋体" w:hAnsi="宋体" w:eastAsia="宋体" w:cs="宋体"/>
          <w:sz w:val="24"/>
        </w:rPr>
        <w:t>元（含税），总额为人民币</w:t>
      </w:r>
      <w:r>
        <w:rPr>
          <w:rFonts w:hint="eastAsia" w:ascii="宋体" w:hAnsi="宋体" w:eastAsia="宋体" w:cs="宋体"/>
          <w:sz w:val="24"/>
          <w:u w:val="single"/>
        </w:rPr>
        <w:t xml:space="preserve">      </w:t>
      </w:r>
      <w:r>
        <w:rPr>
          <w:rFonts w:hint="eastAsia" w:ascii="宋体" w:hAnsi="宋体" w:eastAsia="宋体" w:cs="宋体"/>
          <w:sz w:val="24"/>
        </w:rPr>
        <w:t>元（含税）（大写：</w:t>
      </w:r>
      <w:r>
        <w:rPr>
          <w:rFonts w:hint="eastAsia" w:ascii="宋体" w:hAnsi="宋体" w:eastAsia="宋体" w:cs="宋体"/>
          <w:sz w:val="24"/>
          <w:u w:val="single"/>
        </w:rPr>
        <w:t xml:space="preserve">      </w:t>
      </w:r>
      <w:r>
        <w:rPr>
          <w:rFonts w:hint="eastAsia" w:ascii="宋体" w:hAnsi="宋体" w:eastAsia="宋体" w:cs="宋体"/>
          <w:sz w:val="24"/>
        </w:rPr>
        <w:t>），自本合同签订之日起</w:t>
      </w:r>
      <w:r>
        <w:rPr>
          <w:rFonts w:hint="eastAsia" w:ascii="宋体" w:hAnsi="宋体" w:eastAsia="宋体" w:cs="宋体"/>
          <w:sz w:val="24"/>
          <w:u w:val="single"/>
        </w:rPr>
        <w:t xml:space="preserve">          </w:t>
      </w:r>
      <w:r>
        <w:rPr>
          <w:rFonts w:hint="eastAsia" w:ascii="宋体" w:hAnsi="宋体" w:eastAsia="宋体" w:cs="宋体"/>
          <w:sz w:val="24"/>
        </w:rPr>
        <w:t>日内一次性支付。</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乙  方：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纳税人识别号：</w:t>
      </w:r>
    </w:p>
    <w:p>
      <w:pPr>
        <w:spacing w:line="460" w:lineRule="exact"/>
        <w:ind w:firstLine="480" w:firstLineChars="200"/>
        <w:rPr>
          <w:rFonts w:hint="eastAsia" w:ascii="宋体" w:hAnsi="宋体" w:eastAsia="宋体" w:cs="宋体"/>
          <w:spacing w:val="-10"/>
          <w:sz w:val="24"/>
        </w:rPr>
      </w:pPr>
      <w:r>
        <w:rPr>
          <w:rFonts w:hint="eastAsia" w:ascii="宋体" w:hAnsi="宋体" w:eastAsia="宋体" w:cs="宋体"/>
          <w:sz w:val="24"/>
        </w:rPr>
        <w:t>地  址：</w:t>
      </w:r>
      <w:r>
        <w:rPr>
          <w:rFonts w:hint="eastAsia" w:ascii="宋体" w:hAnsi="宋体" w:eastAsia="宋体" w:cs="宋体"/>
          <w:spacing w:val="-10"/>
          <w:sz w:val="24"/>
        </w:rPr>
        <w:t xml:space="preserve">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电  话：</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开户行：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账  号：</w:t>
      </w:r>
    </w:p>
    <w:p>
      <w:pPr>
        <w:spacing w:line="460" w:lineRule="exact"/>
        <w:ind w:firstLine="477" w:firstLineChars="199"/>
        <w:rPr>
          <w:rFonts w:hint="eastAsia" w:ascii="宋体" w:hAnsi="宋体" w:eastAsia="宋体" w:cs="宋体"/>
          <w:sz w:val="24"/>
        </w:rPr>
      </w:pPr>
      <w:r>
        <w:rPr>
          <w:rFonts w:hint="eastAsia" w:ascii="宋体" w:hAnsi="宋体" w:eastAsia="宋体" w:cs="宋体"/>
          <w:sz w:val="24"/>
        </w:rPr>
        <w:t>甲方应以现金或转账方式直接向乙方支付并索取有效发票；向乙方律师个人或其他个人支付的，乙方均不予认可。</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二</w:t>
      </w:r>
      <w:r>
        <w:rPr>
          <w:rFonts w:hint="eastAsia" w:ascii="宋体" w:hAnsi="宋体" w:eastAsia="宋体" w:cs="宋体"/>
          <w:sz w:val="24"/>
        </w:rPr>
        <w:t>）乙方律师在完成第一条第（一）项常年法律顾问服务过程中发生的鉴定费、评估费、公</w:t>
      </w:r>
      <w:r>
        <w:rPr>
          <w:rFonts w:hint="eastAsia" w:ascii="宋体" w:hAnsi="宋体" w:eastAsia="宋体" w:cs="宋体"/>
          <w:spacing w:val="-8"/>
          <w:sz w:val="24"/>
        </w:rPr>
        <w:t>证费、</w:t>
      </w:r>
      <w:r>
        <w:rPr>
          <w:rFonts w:hint="eastAsia" w:ascii="宋体" w:hAnsi="宋体" w:eastAsia="宋体" w:cs="宋体"/>
          <w:sz w:val="24"/>
        </w:rPr>
        <w:t>公</w:t>
      </w:r>
      <w:r>
        <w:rPr>
          <w:rFonts w:hint="eastAsia" w:ascii="宋体" w:hAnsi="宋体" w:eastAsia="宋体" w:cs="宋体"/>
          <w:spacing w:val="-8"/>
          <w:sz w:val="24"/>
        </w:rPr>
        <w:t>告费、查档费、文印费等费用，由甲方另行支付</w:t>
      </w:r>
      <w:r>
        <w:rPr>
          <w:rFonts w:hint="eastAsia" w:ascii="宋体" w:hAnsi="宋体" w:eastAsia="宋体" w:cs="宋体"/>
          <w:sz w:val="24"/>
        </w:rPr>
        <w:t>。</w:t>
      </w:r>
    </w:p>
    <w:p>
      <w:pPr>
        <w:spacing w:line="460" w:lineRule="exact"/>
        <w:ind w:firstLine="482" w:firstLineChars="200"/>
        <w:rPr>
          <w:rFonts w:hint="eastAsia" w:ascii="宋体" w:hAnsi="宋体" w:eastAsia="宋体" w:cs="宋体"/>
          <w:b/>
          <w:sz w:val="24"/>
        </w:rPr>
      </w:pP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第三条  甲方的权利和义务</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（一）甲方应当真实、客观、全面、及时地向乙方提供与常年法律顾问业务有关的各种文件、资料，客观地介绍有关情况；除紧急事务外，甲方应当提前向常年法律顾问通报，以保证其有合理的准备时间；</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（二）甲方应当为乙方律师办理法律事务提出明确具体、合法合理的要求；不得要求乙方律师进行违法或者有违律师执业规范的活动；</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（三）甲方应当依约按时、足额地向乙方支付法律顾问费和工作费用；</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四）甲方有责任对本合同第一条的有关法律服务事务作出独立的判断和决策，甲方根据乙方律师提供的意见、建议、方案所作出的决定，以及甲方因错过各种法定时效而导致的损失，非因乙方律师错误运用法律造成的，由甲方自行承担；</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（五）甲方有权要求乙方及时更换在服务过程中工作不负责任、或不适合办理甲方委托的法律事务的乙方律师担任常年法律顾问，但甲方提出此要求的理由应充分、合理；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（六）甲方如无正当理由，不得单方解除合同，否则，乙方收取的律师服务费用和已付出的成本费用全部不予退还；如甲方尚未支付律师服务费用和乙方已付出的成本费用，乙方有权继续追讨。</w:t>
      </w:r>
    </w:p>
    <w:p>
      <w:pPr>
        <w:spacing w:line="460" w:lineRule="exact"/>
        <w:ind w:firstLine="482" w:firstLineChars="200"/>
        <w:rPr>
          <w:rFonts w:hint="eastAsia" w:ascii="宋体" w:hAnsi="宋体" w:eastAsia="宋体" w:cs="宋体"/>
          <w:b/>
          <w:sz w:val="24"/>
        </w:rPr>
      </w:pPr>
    </w:p>
    <w:p>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第四条  乙方的权利和义务</w:t>
      </w:r>
    </w:p>
    <w:p>
      <w:pPr>
        <w:spacing w:line="460" w:lineRule="exact"/>
        <w:ind w:firstLine="480" w:firstLineChars="200"/>
        <w:rPr>
          <w:rFonts w:hint="eastAsia" w:ascii="宋体" w:hAnsi="宋体" w:eastAsia="宋体" w:cs="宋体"/>
          <w:sz w:val="24"/>
        </w:rPr>
      </w:pPr>
      <w:r>
        <w:rPr>
          <w:rFonts w:hint="eastAsia" w:ascii="宋体" w:hAnsi="宋体" w:eastAsia="宋体" w:cs="宋体"/>
          <w:color w:val="auto"/>
          <w:sz w:val="24"/>
        </w:rPr>
        <w:t>（一）乙方指派</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组成律师团队，为甲方</w:t>
      </w:r>
      <w:r>
        <w:rPr>
          <w:rFonts w:hint="eastAsia" w:ascii="宋体" w:hAnsi="宋体" w:eastAsia="宋体" w:cs="宋体"/>
          <w:color w:val="auto"/>
          <w:sz w:val="24"/>
          <w:lang w:val="en-US" w:eastAsia="zh-CN"/>
        </w:rPr>
        <w:t>提供</w:t>
      </w:r>
      <w:r>
        <w:rPr>
          <w:rFonts w:hint="eastAsia" w:ascii="宋体" w:hAnsi="宋体" w:eastAsia="宋体" w:cs="宋体"/>
          <w:color w:val="auto"/>
          <w:sz w:val="24"/>
        </w:rPr>
        <w:t>法律顾问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。乙方指派律师因故不能履行职务时，由乙方重新指派熟悉甲方顾问业务的专职律师，经</w:t>
      </w:r>
      <w:r>
        <w:rPr>
          <w:rFonts w:hint="eastAsia" w:ascii="宋体" w:hAnsi="宋体" w:eastAsia="宋体" w:cs="宋体"/>
          <w:sz w:val="24"/>
        </w:rPr>
        <w:t>甲方确认后，新指派的律师继续完成本合同约定的法律服务事务；根据甲方事项需要组建由律师、律师助理及/或专业顾问组成的工作组。应甲方请求或因乙方工作需要，乙方可以变更上述主管合伙人、承办律师及工作组成员，并通知甲方。</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法律顾问联系人及联系方式：</w:t>
      </w:r>
      <w:r>
        <w:rPr>
          <w:rFonts w:hint="eastAsia" w:ascii="宋体" w:hAnsi="宋体" w:eastAsia="宋体" w:cs="宋体"/>
          <w:sz w:val="24"/>
          <w:u w:val="single"/>
        </w:rPr>
        <w:t xml:space="preserve">                    </w:t>
      </w:r>
      <w:r>
        <w:rPr>
          <w:rFonts w:hint="eastAsia" w:ascii="宋体" w:hAnsi="宋体" w:eastAsia="宋体" w:cs="宋体"/>
          <w:sz w:val="24"/>
        </w:rPr>
        <w:t>。请甲方将需要咨询的法律问题及需要审查起草的文件等内容统一直接发至邮箱，发送后，请及时通过微信群或电话告知。</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（二）乙方律师应当依法、勤勉尽责地完成第一条第（一）项所列的法律事务工作；切实维护甲方的合法权益。</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（三）乙方律师应当在获得甲方提供的相关文件资料及其他必须的工作条件后，及时完成服务工作，并应甲方要求通报工作进程。</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（四）乙方律师对获知的甲方商业秘密或个人隐私负责有保密责任，非因法律规定或者甲方同意，不得向任何第三方披露。但以下内容除外：</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1、可以公开查阅或取得的信息和资料；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2、为履行本合同所约定的服务必须进行的工作。</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（五）如甲方隐瞒有关法律顾问事务的真实情况或要求乙方的律师从事违反法律或律师执业规范的活动，乙方有权拒绝。</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（六）乙方为履行本合同所指派的律师团队在涉及甲方的对抗性案件或者交易活动中，未经甲方同意，不得担任与甲方具有法律上利益冲突的另一方的法律顾问或者代理人。</w:t>
      </w:r>
    </w:p>
    <w:p>
      <w:pPr>
        <w:spacing w:line="460" w:lineRule="exact"/>
        <w:ind w:firstLine="482" w:firstLineChars="200"/>
        <w:rPr>
          <w:rFonts w:hint="eastAsia" w:ascii="宋体" w:hAnsi="宋体" w:eastAsia="宋体" w:cs="宋体"/>
          <w:b/>
          <w:sz w:val="24"/>
        </w:rPr>
      </w:pP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第五条  合同的解除</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本合同生效后，甲乙双方均可依法解除合同。因解除合同给对方造成损失的，除不可归责于解除合同一方的事由外，应当赔偿对方因此而发生的损失。</w:t>
      </w:r>
    </w:p>
    <w:p>
      <w:pPr>
        <w:spacing w:line="460" w:lineRule="exact"/>
        <w:ind w:firstLine="480" w:firstLineChars="200"/>
        <w:rPr>
          <w:rFonts w:hint="eastAsia" w:ascii="宋体" w:hAnsi="宋体" w:eastAsia="宋体" w:cs="宋体"/>
          <w:sz w:val="24"/>
        </w:rPr>
      </w:pP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第六条  聘请期限与服务方式</w:t>
      </w:r>
    </w:p>
    <w:p>
      <w:pPr>
        <w:spacing w:line="460" w:lineRule="exact"/>
        <w:ind w:firstLine="477" w:firstLineChars="199"/>
        <w:rPr>
          <w:rFonts w:hint="eastAsia" w:ascii="宋体" w:hAnsi="宋体" w:eastAsia="宋体" w:cs="宋体"/>
          <w:sz w:val="24"/>
        </w:rPr>
      </w:pPr>
      <w:r>
        <w:rPr>
          <w:rFonts w:hint="eastAsia" w:ascii="宋体" w:hAnsi="宋体" w:eastAsia="宋体" w:cs="宋体"/>
          <w:sz w:val="24"/>
        </w:rPr>
        <w:t>本项目服务期3年，合同一年一签，经考核合格后可续签下一年度服务合同。本期合同期限：自   年   月   日至   年   月   日止。</w:t>
      </w:r>
    </w:p>
    <w:p>
      <w:pPr>
        <w:tabs>
          <w:tab w:val="left" w:pos="2910"/>
        </w:tabs>
        <w:spacing w:line="460" w:lineRule="exact"/>
        <w:ind w:firstLine="482" w:firstLineChars="200"/>
        <w:rPr>
          <w:rFonts w:hint="eastAsia" w:ascii="宋体" w:hAnsi="宋体" w:eastAsia="宋体" w:cs="宋体"/>
          <w:b/>
          <w:sz w:val="24"/>
        </w:rPr>
      </w:pPr>
    </w:p>
    <w:p>
      <w:pPr>
        <w:tabs>
          <w:tab w:val="left" w:pos="2910"/>
        </w:tabs>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第七条  争议的解决</w:t>
      </w:r>
      <w:r>
        <w:rPr>
          <w:rFonts w:hint="eastAsia" w:ascii="宋体" w:hAnsi="宋体" w:eastAsia="宋体" w:cs="宋体"/>
          <w:b/>
          <w:sz w:val="24"/>
        </w:rPr>
        <w:tab/>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甲、乙双方在履行本合同过程中发生争议时，应友好协商解决。协商不成时，可向北京仲裁委员会申请仲裁。</w:t>
      </w:r>
    </w:p>
    <w:p>
      <w:pPr>
        <w:spacing w:line="460" w:lineRule="exact"/>
        <w:ind w:firstLine="482" w:firstLineChars="200"/>
        <w:rPr>
          <w:rFonts w:hint="eastAsia" w:ascii="宋体" w:hAnsi="宋体" w:eastAsia="宋体" w:cs="宋体"/>
          <w:b/>
          <w:sz w:val="24"/>
        </w:rPr>
      </w:pP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第八条  合同的生效</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本合同一式三份，甲乙双方各执一份，承办律师执一份，具有同等法律效力，自甲乙双方代表签字盖章之日起生效。</w:t>
      </w:r>
    </w:p>
    <w:p>
      <w:pPr>
        <w:spacing w:line="460" w:lineRule="exact"/>
        <w:ind w:firstLine="480" w:firstLineChars="200"/>
        <w:rPr>
          <w:rFonts w:hint="eastAsia" w:ascii="宋体" w:hAnsi="宋体" w:eastAsia="宋体" w:cs="宋体"/>
          <w:sz w:val="24"/>
        </w:rPr>
      </w:pP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第九条  双方承诺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甲乙双方承诺已认真审阅本合同所有条款并保证完全了解其详尽内容；本合同所有条款均属甲、乙双方平等且完全协商一致而达成。</w:t>
      </w:r>
    </w:p>
    <w:p>
      <w:pPr>
        <w:spacing w:line="460" w:lineRule="exact"/>
        <w:ind w:firstLine="480" w:firstLineChars="200"/>
        <w:rPr>
          <w:rFonts w:hint="eastAsia" w:ascii="宋体" w:hAnsi="宋体" w:eastAsia="宋体" w:cs="宋体"/>
          <w:sz w:val="24"/>
        </w:rPr>
      </w:pPr>
    </w:p>
    <w:p>
      <w:pPr>
        <w:spacing w:line="460" w:lineRule="exact"/>
        <w:ind w:firstLine="450" w:firstLineChars="200"/>
        <w:rPr>
          <w:rFonts w:hint="eastAsia" w:ascii="宋体" w:hAnsi="宋体" w:eastAsia="宋体" w:cs="宋体"/>
          <w:b/>
          <w:spacing w:val="-8"/>
          <w:sz w:val="24"/>
        </w:rPr>
      </w:pPr>
      <w:r>
        <w:rPr>
          <w:rFonts w:hint="eastAsia" w:ascii="宋体" w:hAnsi="宋体" w:eastAsia="宋体" w:cs="宋体"/>
          <w:b/>
          <w:spacing w:val="-8"/>
          <w:sz w:val="24"/>
        </w:rPr>
        <w:t>第十条  甲方的通讯地址及联系人</w:t>
      </w:r>
    </w:p>
    <w:p>
      <w:pPr>
        <w:spacing w:line="460" w:lineRule="exact"/>
        <w:ind w:firstLine="448" w:firstLineChars="200"/>
        <w:rPr>
          <w:rFonts w:hint="eastAsia" w:ascii="宋体" w:hAnsi="宋体" w:eastAsia="宋体" w:cs="宋体"/>
          <w:spacing w:val="-8"/>
          <w:sz w:val="24"/>
        </w:rPr>
      </w:pPr>
      <w:r>
        <w:rPr>
          <w:rFonts w:hint="eastAsia" w:ascii="宋体" w:hAnsi="宋体" w:eastAsia="宋体" w:cs="宋体"/>
          <w:spacing w:val="-8"/>
          <w:sz w:val="24"/>
        </w:rPr>
        <w:t>甲方确认下列通讯地址及联系人是乙方办理本合同委托事务向甲方履行通知义务的通讯地址及联系人：</w:t>
      </w:r>
    </w:p>
    <w:p>
      <w:pPr>
        <w:spacing w:line="460" w:lineRule="exact"/>
        <w:ind w:firstLine="448" w:firstLineChars="200"/>
        <w:rPr>
          <w:rFonts w:hint="eastAsia" w:ascii="宋体" w:hAnsi="宋体" w:eastAsia="宋体" w:cs="宋体"/>
          <w:spacing w:val="-8"/>
          <w:sz w:val="24"/>
        </w:rPr>
      </w:pPr>
      <w:r>
        <w:rPr>
          <w:rFonts w:hint="eastAsia" w:ascii="宋体" w:hAnsi="宋体" w:eastAsia="宋体" w:cs="宋体"/>
          <w:spacing w:val="-8"/>
          <w:sz w:val="24"/>
        </w:rPr>
        <w:t xml:space="preserve">（一）通讯地址：                                 </w:t>
      </w:r>
    </w:p>
    <w:p>
      <w:pPr>
        <w:spacing w:line="460" w:lineRule="exact"/>
        <w:ind w:firstLine="448" w:firstLineChars="200"/>
        <w:rPr>
          <w:rFonts w:hint="eastAsia" w:ascii="宋体" w:hAnsi="宋体" w:eastAsia="宋体" w:cs="宋体"/>
          <w:spacing w:val="-8"/>
          <w:sz w:val="24"/>
        </w:rPr>
      </w:pPr>
      <w:r>
        <w:rPr>
          <w:rFonts w:hint="eastAsia" w:ascii="宋体" w:hAnsi="宋体" w:eastAsia="宋体" w:cs="宋体"/>
          <w:spacing w:val="-8"/>
          <w:sz w:val="24"/>
        </w:rPr>
        <w:t xml:space="preserve">（二）联系人： </w:t>
      </w:r>
    </w:p>
    <w:p>
      <w:pPr>
        <w:spacing w:line="460" w:lineRule="exact"/>
        <w:ind w:firstLine="448" w:firstLineChars="200"/>
        <w:rPr>
          <w:rFonts w:hint="eastAsia" w:ascii="宋体" w:hAnsi="宋体" w:eastAsia="宋体" w:cs="宋体"/>
          <w:spacing w:val="-8"/>
          <w:sz w:val="24"/>
        </w:rPr>
      </w:pPr>
      <w:r>
        <w:rPr>
          <w:rFonts w:hint="eastAsia" w:ascii="宋体" w:hAnsi="宋体" w:eastAsia="宋体" w:cs="宋体"/>
          <w:spacing w:val="-8"/>
          <w:sz w:val="24"/>
        </w:rPr>
        <w:t>如果甲方变更通讯地址或联系人，需提前七日书面通知乙方。</w:t>
      </w:r>
    </w:p>
    <w:p>
      <w:pPr>
        <w:spacing w:line="460" w:lineRule="exact"/>
        <w:ind w:firstLine="480" w:firstLineChars="200"/>
        <w:rPr>
          <w:rFonts w:hint="eastAsia" w:ascii="宋体" w:hAnsi="宋体" w:eastAsia="宋体" w:cs="宋体"/>
          <w:sz w:val="24"/>
        </w:rPr>
      </w:pPr>
    </w:p>
    <w:p>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第十一条  特别约定</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未尽事宜，双方可在本条另行特别约定：</w:t>
      </w:r>
    </w:p>
    <w:p>
      <w:pPr>
        <w:pStyle w:val="18"/>
        <w:ind w:leftChars="100"/>
        <w:rPr>
          <w:rFonts w:hint="eastAsia" w:ascii="宋体" w:hAnsi="宋体" w:eastAsia="宋体" w:cs="宋体"/>
          <w:sz w:val="24"/>
          <w:u w:val="single"/>
        </w:rPr>
      </w:pPr>
      <w:r>
        <w:rPr>
          <w:rFonts w:hint="eastAsia" w:ascii="宋体" w:hAnsi="宋体" w:eastAsia="宋体" w:cs="宋体"/>
          <w:u w:val="single"/>
        </w:rPr>
        <w:t xml:space="preserve">                                                                         </w:t>
      </w:r>
    </w:p>
    <w:p>
      <w:pPr>
        <w:pStyle w:val="18"/>
        <w:rPr>
          <w:rFonts w:hint="eastAsia" w:ascii="宋体" w:hAnsi="宋体" w:eastAsia="宋体" w:cs="宋体"/>
        </w:rPr>
      </w:pPr>
    </w:p>
    <w:p>
      <w:pPr>
        <w:numPr>
          <w:ilvl w:val="0"/>
          <w:numId w:val="0"/>
        </w:num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第十二条  附件</w:t>
      </w:r>
    </w:p>
    <w:p>
      <w:pPr>
        <w:pStyle w:val="18"/>
        <w:rPr>
          <w:rFonts w:hint="eastAsia" w:ascii="宋体" w:hAnsi="宋体" w:eastAsia="宋体" w:cs="宋体"/>
          <w:sz w:val="24"/>
        </w:rPr>
      </w:pPr>
    </w:p>
    <w:p>
      <w:pPr>
        <w:pStyle w:val="18"/>
        <w:numPr>
          <w:ilvl w:val="255"/>
          <w:numId w:val="0"/>
        </w:numPr>
        <w:rPr>
          <w:rFonts w:hint="eastAsia" w:ascii="宋体" w:hAnsi="宋体" w:eastAsia="宋体" w:cs="宋体"/>
        </w:rPr>
      </w:pPr>
    </w:p>
    <w:p>
      <w:pPr>
        <w:spacing w:line="460" w:lineRule="exact"/>
        <w:ind w:firstLine="480" w:firstLineChars="200"/>
        <w:rPr>
          <w:rFonts w:hint="eastAsia" w:ascii="宋体" w:hAnsi="宋体" w:eastAsia="宋体" w:cs="宋体"/>
          <w:sz w:val="24"/>
        </w:rPr>
      </w:pPr>
    </w:p>
    <w:p>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甲  方（盖章）：                           乙  方（盖章）： </w:t>
      </w:r>
    </w:p>
    <w:p>
      <w:pPr>
        <w:spacing w:line="460" w:lineRule="exact"/>
        <w:ind w:firstLine="1920" w:firstLineChars="800"/>
        <w:rPr>
          <w:rFonts w:hint="eastAsia" w:ascii="宋体" w:hAnsi="宋体" w:eastAsia="宋体" w:cs="宋体"/>
          <w:sz w:val="24"/>
        </w:rPr>
      </w:pPr>
      <w:r>
        <w:rPr>
          <w:rFonts w:hint="eastAsia" w:ascii="宋体" w:hAnsi="宋体" w:eastAsia="宋体" w:cs="宋体"/>
          <w:sz w:val="24"/>
        </w:rPr>
        <w:t xml:space="preserve">   </w:t>
      </w:r>
    </w:p>
    <w:p>
      <w:pPr>
        <w:spacing w:line="460" w:lineRule="exact"/>
        <w:ind w:firstLine="240" w:firstLineChars="100"/>
        <w:rPr>
          <w:rFonts w:hint="eastAsia" w:ascii="宋体" w:hAnsi="宋体" w:eastAsia="宋体" w:cs="宋体"/>
          <w:spacing w:val="-10"/>
          <w:sz w:val="24"/>
        </w:rPr>
      </w:pPr>
      <w:r>
        <w:rPr>
          <w:rFonts w:hint="eastAsia" w:ascii="宋体" w:hAnsi="宋体" w:eastAsia="宋体" w:cs="宋体"/>
          <w:sz w:val="24"/>
        </w:rPr>
        <w:t>地  址：                                   地  址：</w:t>
      </w:r>
      <w:r>
        <w:rPr>
          <w:rFonts w:hint="eastAsia" w:ascii="宋体" w:hAnsi="宋体" w:eastAsia="宋体" w:cs="宋体"/>
          <w:spacing w:val="-10"/>
          <w:sz w:val="24"/>
        </w:rPr>
        <w:t xml:space="preserve"> </w:t>
      </w:r>
    </w:p>
    <w:p>
      <w:pPr>
        <w:spacing w:line="460" w:lineRule="exact"/>
        <w:jc w:val="right"/>
        <w:rPr>
          <w:rFonts w:hint="eastAsia" w:ascii="宋体" w:hAnsi="宋体" w:eastAsia="宋体" w:cs="宋体"/>
          <w:sz w:val="24"/>
        </w:rPr>
      </w:pPr>
      <w:r>
        <w:rPr>
          <w:rFonts w:hint="eastAsia" w:ascii="宋体" w:hAnsi="宋体" w:eastAsia="宋体" w:cs="宋体"/>
          <w:sz w:val="24"/>
        </w:rPr>
        <w:t xml:space="preserve">           </w:t>
      </w:r>
    </w:p>
    <w:p>
      <w:pPr>
        <w:spacing w:line="460" w:lineRule="exact"/>
        <w:ind w:right="448" w:firstLine="240" w:firstLineChars="100"/>
        <w:rPr>
          <w:rFonts w:hint="eastAsia" w:ascii="宋体" w:hAnsi="宋体" w:eastAsia="宋体" w:cs="宋体"/>
          <w:sz w:val="24"/>
        </w:rPr>
      </w:pPr>
      <w:r>
        <w:rPr>
          <w:rFonts w:hint="eastAsia" w:ascii="宋体" w:hAnsi="宋体" w:eastAsia="宋体" w:cs="宋体"/>
          <w:sz w:val="24"/>
        </w:rPr>
        <w:t xml:space="preserve">签约日期：                                 签约日期： </w:t>
      </w:r>
    </w:p>
    <w:p>
      <w:pPr>
        <w:spacing w:line="360" w:lineRule="auto"/>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0"/>
        <w:rPr>
          <w:rFonts w:hAnsi="宋体"/>
        </w:rPr>
      </w:pPr>
    </w:p>
    <w:p>
      <w:pPr>
        <w:pStyle w:val="2"/>
        <w:numPr>
          <w:ilvl w:val="0"/>
          <w:numId w:val="8"/>
        </w:numPr>
        <w:ind w:firstLine="2570" w:firstLineChars="800"/>
        <w:jc w:val="both"/>
        <w:rPr>
          <w:rFonts w:hint="eastAsia"/>
        </w:rPr>
      </w:pPr>
      <w:r>
        <w:rPr>
          <w:rFonts w:hint="eastAsia"/>
        </w:rPr>
        <w:t xml:space="preserve"> 附件-响应文件格式</w:t>
      </w:r>
      <w:bookmarkEnd w:id="9"/>
      <w:bookmarkEnd w:id="10"/>
      <w:bookmarkEnd w:id="11"/>
      <w:bookmarkEnd w:id="12"/>
    </w:p>
    <w:p>
      <w:pPr>
        <w:rPr>
          <w:rFonts w:hint="eastAsia"/>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color w:val="000000"/>
          <w:szCs w:val="21"/>
          <w:lang w:val="zh-CN"/>
        </w:rPr>
        <w:t>否则响应无效</w:t>
      </w:r>
      <w:r>
        <w:rPr>
          <w:rFonts w:hint="eastAsia" w:ascii="宋体" w:hAnsi="宋体" w:eastAsia="宋体" w:cs="宋体"/>
          <w:color w:val="000000"/>
          <w:szCs w:val="21"/>
          <w:lang w:val="zh-CN"/>
        </w:rPr>
        <w:t>。未标记“实质性格式”的文件和竞争性磋商文件未提供格式的内容，可由供应商自行编写。</w:t>
      </w:r>
    </w:p>
    <w:p>
      <w:pPr>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3、全部声明和问题的回答及所附材料必须是真实的、准确的和完整的。</w:t>
      </w:r>
    </w:p>
    <w:p>
      <w:pPr>
        <w:ind w:firstLine="420" w:firstLineChars="200"/>
        <w:rPr>
          <w:rFonts w:hint="eastAsia" w:ascii="宋体" w:hAnsi="宋体"/>
          <w:color w:val="000000"/>
          <w:szCs w:val="21"/>
          <w:lang w:val="zh-CN"/>
        </w:rPr>
      </w:pPr>
    </w:p>
    <w:p>
      <w:pPr>
        <w:pStyle w:val="62"/>
        <w:snapToGrid w:val="0"/>
        <w:spacing w:after="240" w:afterLines="100" w:line="360" w:lineRule="auto"/>
        <w:jc w:val="both"/>
        <w:outlineLvl w:val="9"/>
        <w:rPr>
          <w:rFonts w:cs="Arial"/>
          <w:bCs w:val="0"/>
          <w:sz w:val="22"/>
          <w:szCs w:val="22"/>
        </w:rPr>
      </w:pPr>
      <w:bookmarkStart w:id="17" w:name="_Toc10771"/>
      <w:bookmarkStart w:id="18" w:name="_Toc389141967"/>
      <w:bookmarkStart w:id="19" w:name="_Toc96755235"/>
      <w:bookmarkStart w:id="20" w:name="_Toc508200447"/>
      <w:bookmarkStart w:id="21" w:name="_Toc12470"/>
      <w:bookmarkStart w:id="22" w:name="_Toc96755236"/>
      <w:bookmarkStart w:id="23" w:name="_Toc10307"/>
      <w:bookmarkStart w:id="24" w:name="_Toc448322558"/>
      <w:bookmarkStart w:id="25" w:name="_Toc85430467"/>
      <w:bookmarkStart w:id="26" w:name="_Toc235856998"/>
      <w:bookmarkStart w:id="27" w:name="_Toc127599610"/>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bookmarkEnd w:id="13"/>
    <w:bookmarkEnd w:id="14"/>
    <w:bookmarkEnd w:id="17"/>
    <w:bookmarkEnd w:id="18"/>
    <w:bookmarkEnd w:id="19"/>
    <w:bookmarkEnd w:id="20"/>
    <w:bookmarkEnd w:id="21"/>
    <w:bookmarkEnd w:id="22"/>
    <w:bookmarkEnd w:id="23"/>
    <w:bookmarkEnd w:id="24"/>
    <w:bookmarkEnd w:id="25"/>
    <w:bookmarkEnd w:id="26"/>
    <w:bookmarkEnd w:id="27"/>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rFonts w:hint="eastAsia" w:cs="黑体"/>
          <w:bCs w:val="0"/>
          <w:sz w:val="22"/>
          <w:szCs w:val="22"/>
        </w:rPr>
      </w:pPr>
    </w:p>
    <w:p>
      <w:pPr>
        <w:pStyle w:val="62"/>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pPr>
        <w:spacing w:line="360" w:lineRule="auto"/>
        <w:ind w:firstLine="420" w:firstLineChars="200"/>
        <w:rPr>
          <w:rFonts w:hint="eastAsia" w:asciiTheme="minorEastAsia" w:hAnsiTheme="minorEastAsia"/>
          <w:kern w:val="0"/>
          <w:szCs w:val="21"/>
          <w:highlight w:val="none"/>
          <w:lang w:eastAsia="zh-CN"/>
        </w:rPr>
      </w:pPr>
      <w:r>
        <w:rPr>
          <w:rFonts w:hint="eastAsia" w:asciiTheme="minorEastAsia" w:hAnsiTheme="minorEastAsia" w:cstheme="minorBidi"/>
          <w:kern w:val="0"/>
          <w:sz w:val="21"/>
          <w:szCs w:val="21"/>
          <w:highlight w:val="none"/>
          <w:u w:val="none"/>
          <w:lang w:val="en-US" w:eastAsia="zh-CN" w:bidi="ar-SA"/>
        </w:rPr>
        <w:t>项目名称：</w:t>
      </w:r>
      <w:r>
        <w:rPr>
          <w:rFonts w:hint="eastAsia" w:asciiTheme="minorEastAsia" w:hAnsiTheme="minorEastAsia"/>
          <w:kern w:val="0"/>
          <w:szCs w:val="21"/>
          <w:highlight w:val="none"/>
          <w:lang w:val="en-US" w:eastAsia="zh-CN"/>
        </w:rPr>
        <w:t>北京按摩医院常年法律顾问服务项目</w:t>
      </w:r>
    </w:p>
    <w:p>
      <w:pPr>
        <w:spacing w:line="360" w:lineRule="auto"/>
        <w:ind w:firstLine="420" w:firstLineChars="200"/>
        <w:rPr>
          <w:rFonts w:hint="default" w:asciiTheme="minorEastAsia" w:hAnsiTheme="minorEastAsia" w:cstheme="minorBidi"/>
          <w:kern w:val="0"/>
          <w:sz w:val="21"/>
          <w:szCs w:val="21"/>
          <w:highlight w:val="none"/>
          <w:u w:val="none"/>
          <w:lang w:val="en-US" w:eastAsia="zh-CN" w:bidi="ar-SA"/>
        </w:rPr>
      </w:pPr>
      <w:r>
        <w:rPr>
          <w:rFonts w:hint="eastAsia" w:asciiTheme="minorEastAsia" w:hAnsiTheme="minorEastAsia" w:cstheme="minorBidi"/>
          <w:kern w:val="0"/>
          <w:sz w:val="21"/>
          <w:szCs w:val="21"/>
          <w:highlight w:val="none"/>
          <w:u w:val="none"/>
          <w:lang w:val="en-US" w:eastAsia="zh-CN" w:bidi="ar-SA"/>
        </w:rPr>
        <w:t>项目编号：</w:t>
      </w:r>
      <w:r>
        <w:rPr>
          <w:rFonts w:hint="eastAsia" w:asciiTheme="minorEastAsia" w:hAnsiTheme="minorEastAsia"/>
          <w:kern w:val="0"/>
          <w:szCs w:val="21"/>
          <w:highlight w:val="none"/>
          <w:lang w:val="en-US" w:eastAsia="zh-CN"/>
        </w:rPr>
        <w:t xml:space="preserve">BJAMYY-2025-09-02 </w:t>
      </w:r>
    </w:p>
    <w:p>
      <w:pPr>
        <w:spacing w:line="360" w:lineRule="auto"/>
        <w:ind w:firstLine="420" w:firstLineChars="200"/>
        <w:rPr>
          <w:rFonts w:hint="eastAsia" w:asciiTheme="minorEastAsia" w:hAnsiTheme="minorEastAsia" w:cstheme="minorBidi"/>
          <w:kern w:val="0"/>
          <w:sz w:val="21"/>
          <w:szCs w:val="21"/>
          <w:highlight w:val="none"/>
          <w:u w:val="none"/>
          <w:lang w:val="zh-CN" w:eastAsia="zh-CN" w:bidi="ar-SA"/>
        </w:rPr>
      </w:pPr>
      <w:r>
        <w:rPr>
          <w:rFonts w:hint="eastAsia" w:asciiTheme="minorEastAsia" w:hAnsiTheme="minorEastAsia" w:cstheme="minorBidi"/>
          <w:kern w:val="0"/>
          <w:sz w:val="21"/>
          <w:szCs w:val="21"/>
          <w:highlight w:val="none"/>
          <w:u w:val="none"/>
          <w:lang w:val="zh-CN" w:eastAsia="zh-CN" w:bidi="ar-SA"/>
        </w:rPr>
        <w:t>根据本项目实际情况，本项目</w:t>
      </w:r>
      <w:r>
        <w:rPr>
          <w:rFonts w:hint="eastAsia" w:asciiTheme="minorEastAsia" w:hAnsiTheme="minorEastAsia" w:cstheme="minorBidi"/>
          <w:kern w:val="0"/>
          <w:sz w:val="21"/>
          <w:szCs w:val="21"/>
          <w:highlight w:val="none"/>
          <w:u w:val="none"/>
          <w:lang w:val="en-US" w:eastAsia="zh-CN" w:bidi="ar-SA"/>
        </w:rPr>
        <w:t>报价</w:t>
      </w:r>
      <w:r>
        <w:rPr>
          <w:rFonts w:hint="eastAsia" w:asciiTheme="minorEastAsia" w:hAnsiTheme="minorEastAsia" w:cstheme="minorBidi"/>
          <w:kern w:val="0"/>
          <w:sz w:val="21"/>
          <w:szCs w:val="21"/>
          <w:highlight w:val="none"/>
          <w:u w:val="none"/>
          <w:lang w:val="zh-CN" w:eastAsia="zh-CN" w:bidi="ar-SA"/>
        </w:rPr>
        <w:t>如下：</w:t>
      </w:r>
    </w:p>
    <w:tbl>
      <w:tblPr>
        <w:tblStyle w:val="30"/>
        <w:tblW w:w="8349" w:type="dxa"/>
        <w:jc w:val="center"/>
        <w:tblLayout w:type="fixed"/>
        <w:tblCellMar>
          <w:top w:w="0" w:type="dxa"/>
          <w:left w:w="108" w:type="dxa"/>
          <w:bottom w:w="0" w:type="dxa"/>
          <w:right w:w="108" w:type="dxa"/>
        </w:tblCellMar>
      </w:tblPr>
      <w:tblGrid>
        <w:gridCol w:w="689"/>
        <w:gridCol w:w="1175"/>
        <w:gridCol w:w="1706"/>
        <w:gridCol w:w="2699"/>
        <w:gridCol w:w="1140"/>
        <w:gridCol w:w="940"/>
      </w:tblGrid>
      <w:tr>
        <w:tblPrEx>
          <w:tblCellMar>
            <w:top w:w="0" w:type="dxa"/>
            <w:left w:w="108" w:type="dxa"/>
            <w:bottom w:w="0" w:type="dxa"/>
            <w:right w:w="108" w:type="dxa"/>
          </w:tblCellMar>
        </w:tblPrEx>
        <w:trPr>
          <w:trHeight w:val="1134" w:hRule="atLeast"/>
          <w:jc w:val="center"/>
        </w:trPr>
        <w:tc>
          <w:tcPr>
            <w:tcW w:w="68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Cs w:val="21"/>
                <w:highlight w:val="none"/>
                <w:lang w:val="zh-CN"/>
              </w:rPr>
            </w:pPr>
            <w:r>
              <w:rPr>
                <w:rFonts w:hint="eastAsia" w:ascii="宋体" w:hAnsi="宋体"/>
                <w:color w:val="000000"/>
                <w:szCs w:val="21"/>
                <w:highlight w:val="none"/>
                <w:lang w:val="zh-CN"/>
              </w:rPr>
              <w:t>序号</w:t>
            </w:r>
          </w:p>
        </w:tc>
        <w:tc>
          <w:tcPr>
            <w:tcW w:w="1175"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供应商名称</w:t>
            </w:r>
          </w:p>
        </w:tc>
        <w:tc>
          <w:tcPr>
            <w:tcW w:w="1706" w:type="dxa"/>
            <w:tcBorders>
              <w:top w:val="single" w:color="auto" w:sz="8" w:space="0"/>
              <w:left w:val="nil"/>
              <w:bottom w:val="single" w:color="auto" w:sz="8" w:space="0"/>
              <w:right w:val="single" w:color="auto" w:sz="8" w:space="0"/>
            </w:tcBorders>
            <w:vAlign w:val="center"/>
          </w:tcPr>
          <w:p>
            <w:pPr>
              <w:jc w:val="center"/>
              <w:rPr>
                <w:rFonts w:hint="default" w:ascii="宋体" w:hAnsi="宋体"/>
                <w:color w:val="000000"/>
                <w:szCs w:val="21"/>
                <w:highlight w:val="none"/>
                <w:lang w:val="en-US"/>
              </w:rPr>
            </w:pPr>
            <w:r>
              <w:rPr>
                <w:rFonts w:hint="eastAsia" w:ascii="宋体" w:hAnsi="宋体"/>
                <w:color w:val="auto"/>
                <w:szCs w:val="21"/>
                <w:highlight w:val="none"/>
                <w:lang w:val="en-US" w:eastAsia="zh-CN"/>
              </w:rPr>
              <w:t>常年法律顾问服务费</w:t>
            </w:r>
          </w:p>
        </w:tc>
        <w:tc>
          <w:tcPr>
            <w:tcW w:w="2699" w:type="dxa"/>
            <w:tcBorders>
              <w:top w:val="single" w:color="auto" w:sz="8" w:space="0"/>
              <w:left w:val="nil"/>
              <w:bottom w:val="single" w:color="auto" w:sz="8" w:space="0"/>
              <w:right w:val="single" w:color="auto" w:sz="8" w:space="0"/>
            </w:tcBorders>
            <w:vAlign w:val="center"/>
          </w:tcPr>
          <w:p>
            <w:pPr>
              <w:jc w:val="center"/>
              <w:rPr>
                <w:rFonts w:hint="eastAsia" w:ascii="宋体" w:hAnsi="宋体"/>
                <w:color w:val="000000"/>
                <w:szCs w:val="21"/>
                <w:highlight w:val="none"/>
                <w:lang w:val="en-US" w:eastAsia="zh-CN"/>
              </w:rPr>
            </w:pPr>
            <w:r>
              <w:rPr>
                <w:rFonts w:hint="eastAsia" w:ascii="宋体" w:hAnsi="宋体"/>
                <w:color w:val="auto"/>
                <w:szCs w:val="21"/>
                <w:highlight w:val="none"/>
                <w:lang w:val="en-US" w:eastAsia="zh-CN"/>
              </w:rPr>
              <w:t>计时收费及代理争议案件收费下浮比例</w:t>
            </w:r>
          </w:p>
        </w:tc>
        <w:tc>
          <w:tcPr>
            <w:tcW w:w="1140" w:type="dxa"/>
            <w:tcBorders>
              <w:top w:val="single" w:color="auto" w:sz="8" w:space="0"/>
              <w:left w:val="nil"/>
              <w:bottom w:val="single" w:color="auto" w:sz="8" w:space="0"/>
              <w:right w:val="single" w:color="auto" w:sz="8" w:space="0"/>
            </w:tcBorders>
            <w:vAlign w:val="center"/>
          </w:tcPr>
          <w:p>
            <w:pPr>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服务期限</w:t>
            </w:r>
          </w:p>
        </w:tc>
        <w:tc>
          <w:tcPr>
            <w:tcW w:w="940"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备注</w:t>
            </w:r>
          </w:p>
        </w:tc>
      </w:tr>
      <w:tr>
        <w:tblPrEx>
          <w:tblCellMar>
            <w:top w:w="0" w:type="dxa"/>
            <w:left w:w="108" w:type="dxa"/>
            <w:bottom w:w="0" w:type="dxa"/>
            <w:right w:w="108" w:type="dxa"/>
          </w:tblCellMar>
        </w:tblPrEx>
        <w:trPr>
          <w:trHeight w:val="1134" w:hRule="atLeast"/>
          <w:jc w:val="center"/>
        </w:trPr>
        <w:tc>
          <w:tcPr>
            <w:tcW w:w="689" w:type="dxa"/>
            <w:tcBorders>
              <w:top w:val="nil"/>
              <w:left w:val="single" w:color="auto" w:sz="8" w:space="0"/>
              <w:bottom w:val="single" w:color="auto" w:sz="8" w:space="0"/>
              <w:right w:val="single" w:color="auto" w:sz="8" w:space="0"/>
            </w:tcBorders>
            <w:vAlign w:val="center"/>
          </w:tcPr>
          <w:p>
            <w:pPr>
              <w:jc w:val="center"/>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1</w:t>
            </w:r>
          </w:p>
        </w:tc>
        <w:tc>
          <w:tcPr>
            <w:tcW w:w="1175" w:type="dxa"/>
            <w:tcBorders>
              <w:top w:val="nil"/>
              <w:left w:val="nil"/>
              <w:bottom w:val="single" w:color="auto" w:sz="8" w:space="0"/>
              <w:right w:val="single" w:color="auto" w:sz="8" w:space="0"/>
            </w:tcBorders>
            <w:vAlign w:val="center"/>
          </w:tcPr>
          <w:p>
            <w:pPr>
              <w:jc w:val="center"/>
              <w:rPr>
                <w:rFonts w:hint="default" w:ascii="宋体" w:hAnsi="宋体"/>
                <w:color w:val="000000"/>
                <w:szCs w:val="21"/>
                <w:highlight w:val="none"/>
                <w:lang w:val="en-US" w:eastAsia="zh-CN"/>
              </w:rPr>
            </w:pPr>
          </w:p>
        </w:tc>
        <w:tc>
          <w:tcPr>
            <w:tcW w:w="1706" w:type="dxa"/>
            <w:tcBorders>
              <w:top w:val="nil"/>
              <w:left w:val="nil"/>
              <w:bottom w:val="single" w:color="auto" w:sz="8" w:space="0"/>
              <w:right w:val="single" w:color="auto" w:sz="8" w:space="0"/>
            </w:tcBorders>
            <w:vAlign w:val="center"/>
          </w:tcPr>
          <w:p>
            <w:pPr>
              <w:jc w:val="center"/>
              <w:rPr>
                <w:rFonts w:ascii="宋体" w:hAnsi="宋体"/>
                <w:color w:val="000000"/>
                <w:szCs w:val="21"/>
                <w:highlight w:val="none"/>
                <w:lang w:val="zh-CN"/>
              </w:rPr>
            </w:pP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万</w:t>
            </w:r>
            <w:r>
              <w:rPr>
                <w:rFonts w:hint="eastAsia" w:ascii="宋体" w:hAnsi="宋体"/>
                <w:color w:val="000000"/>
                <w:szCs w:val="21"/>
                <w:highlight w:val="none"/>
                <w:lang w:val="zh-CN"/>
              </w:rPr>
              <w:t>元</w:t>
            </w:r>
            <w:r>
              <w:rPr>
                <w:rFonts w:hint="eastAsia" w:ascii="宋体" w:hAnsi="宋体"/>
                <w:color w:val="000000"/>
                <w:szCs w:val="21"/>
                <w:highlight w:val="none"/>
                <w:lang w:val="en-US" w:eastAsia="zh-CN"/>
              </w:rPr>
              <w:t>/年</w:t>
            </w:r>
          </w:p>
        </w:tc>
        <w:tc>
          <w:tcPr>
            <w:tcW w:w="2699" w:type="dxa"/>
            <w:tcBorders>
              <w:top w:val="nil"/>
              <w:left w:val="nil"/>
              <w:bottom w:val="single" w:color="auto" w:sz="8" w:space="0"/>
              <w:right w:val="single" w:color="auto" w:sz="8" w:space="0"/>
            </w:tcBorders>
            <w:vAlign w:val="center"/>
          </w:tcPr>
          <w:p>
            <w:pPr>
              <w:jc w:val="center"/>
              <w:rPr>
                <w:rFonts w:ascii="宋体" w:hAnsi="宋体"/>
                <w:color w:val="000000"/>
                <w:szCs w:val="21"/>
                <w:highlight w:val="none"/>
                <w:lang w:val="zh-CN"/>
              </w:rPr>
            </w:pP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w:t>
            </w:r>
          </w:p>
        </w:tc>
        <w:tc>
          <w:tcPr>
            <w:tcW w:w="1140" w:type="dxa"/>
            <w:tcBorders>
              <w:top w:val="nil"/>
              <w:left w:val="nil"/>
              <w:bottom w:val="single" w:color="auto" w:sz="8" w:space="0"/>
              <w:right w:val="single" w:color="auto" w:sz="8" w:space="0"/>
            </w:tcBorders>
            <w:vAlign w:val="center"/>
          </w:tcPr>
          <w:p>
            <w:pPr>
              <w:jc w:val="center"/>
              <w:rPr>
                <w:rFonts w:ascii="宋体" w:hAnsi="宋体"/>
                <w:color w:val="000000"/>
                <w:szCs w:val="21"/>
                <w:highlight w:val="none"/>
                <w:lang w:val="zh-CN"/>
              </w:rPr>
            </w:pPr>
          </w:p>
        </w:tc>
        <w:tc>
          <w:tcPr>
            <w:tcW w:w="940" w:type="dxa"/>
            <w:tcBorders>
              <w:top w:val="nil"/>
              <w:left w:val="nil"/>
              <w:bottom w:val="single" w:color="auto" w:sz="8" w:space="0"/>
              <w:right w:val="single" w:color="auto" w:sz="8" w:space="0"/>
            </w:tcBorders>
            <w:vAlign w:val="center"/>
          </w:tcPr>
          <w:p>
            <w:pPr>
              <w:jc w:val="center"/>
              <w:rPr>
                <w:rFonts w:ascii="宋体" w:hAnsi="宋体"/>
                <w:color w:val="000000"/>
                <w:szCs w:val="21"/>
                <w:highlight w:val="none"/>
                <w:lang w:val="zh-CN"/>
              </w:rPr>
            </w:pPr>
          </w:p>
        </w:tc>
      </w:tr>
    </w:tbl>
    <w:p>
      <w:pPr>
        <w:ind w:firstLine="420"/>
        <w:rPr>
          <w:rFonts w:hint="eastAsia" w:ascii="宋体" w:hAnsi="宋体"/>
          <w:color w:val="000000"/>
          <w:szCs w:val="21"/>
          <w:highlight w:val="yellow"/>
          <w:lang w:val="zh-CN"/>
        </w:rPr>
      </w:pPr>
    </w:p>
    <w:p>
      <w:pPr>
        <w:rPr>
          <w:rFonts w:hint="eastAsia" w:ascii="宋体" w:hAnsi="宋体"/>
          <w:color w:val="000000"/>
          <w:szCs w:val="21"/>
          <w:highlight w:val="yellow"/>
          <w:lang w:val="zh-CN"/>
        </w:rPr>
      </w:pPr>
    </w:p>
    <w:p>
      <w:pPr>
        <w:ind w:firstLine="420"/>
        <w:rPr>
          <w:rFonts w:hint="eastAsia" w:ascii="宋体" w:hAnsi="宋体"/>
          <w:color w:val="000000"/>
          <w:szCs w:val="21"/>
          <w:highlight w:val="yellow"/>
          <w:lang w:val="zh-CN"/>
        </w:rPr>
      </w:pPr>
    </w:p>
    <w:p>
      <w:pPr>
        <w:numPr>
          <w:ilvl w:val="0"/>
          <w:numId w:val="0"/>
        </w:numP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zh-CN" w:eastAsia="zh-CN"/>
          <w14:textFill>
            <w14:solidFill>
              <w14:schemeClr w14:val="tx1"/>
            </w14:solidFill>
          </w14:textFill>
        </w:rPr>
        <w:t>说明</w:t>
      </w:r>
      <w:r>
        <w:rPr>
          <w:rFonts w:hint="eastAsia" w:ascii="宋体" w:hAnsi="宋体"/>
          <w:color w:val="000000" w:themeColor="text1"/>
          <w:szCs w:val="21"/>
          <w:highlight w:val="none"/>
          <w:lang w:val="en-US" w:eastAsia="zh-CN"/>
          <w14:textFill>
            <w14:solidFill>
              <w14:schemeClr w14:val="tx1"/>
            </w14:solidFill>
          </w14:textFill>
        </w:rPr>
        <w:t>: 1.完全满足遴选文件的商务条款要求和技术服务条款要求。</w:t>
      </w:r>
    </w:p>
    <w:p>
      <w:pPr>
        <w:numPr>
          <w:ilvl w:val="0"/>
          <w:numId w:val="0"/>
        </w:numPr>
        <w:ind w:firstLine="630" w:firstLineChars="300"/>
        <w:rPr>
          <w:rFonts w:hint="eastAsia" w:ascii="宋体" w:hAnsi="宋体"/>
          <w:color w:val="000000" w:themeColor="text1"/>
          <w:szCs w:val="21"/>
          <w:highlight w:val="none"/>
          <w:lang w:val="zh-CN"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val="zh-CN" w:eastAsia="zh-CN"/>
          <w14:textFill>
            <w14:solidFill>
              <w14:schemeClr w14:val="tx1"/>
            </w14:solidFill>
          </w14:textFill>
        </w:rPr>
        <w:t>大写金额和小写金额不一致的，以大写金额为准。</w:t>
      </w:r>
    </w:p>
    <w:p>
      <w:pPr>
        <w:numPr>
          <w:ilvl w:val="0"/>
          <w:numId w:val="0"/>
        </w:numPr>
        <w:ind w:firstLine="630" w:firstLineChars="300"/>
        <w:rPr>
          <w:rFonts w:hint="eastAsia" w:ascii="宋体" w:hAnsi="宋体"/>
          <w:color w:val="000000" w:themeColor="text1"/>
          <w:szCs w:val="21"/>
          <w:highlight w:val="none"/>
          <w:lang w:val="zh-CN"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3.常年法律顾问服务费报价：</w:t>
      </w:r>
      <w:r>
        <w:rPr>
          <w:rFonts w:hint="eastAsia" w:ascii="宋体" w:hAnsi="宋体"/>
          <w:color w:val="000000" w:themeColor="text1"/>
          <w:szCs w:val="21"/>
          <w:highlight w:val="none"/>
          <w:lang w:val="zh-CN" w:eastAsia="zh-CN"/>
          <w14:textFill>
            <w14:solidFill>
              <w14:schemeClr w14:val="tx1"/>
            </w14:solidFill>
          </w14:textFill>
        </w:rPr>
        <w:t>本项目报价应包括开展律师服务所产生的一切费用（服务内容所包含全部</w:t>
      </w:r>
      <w:r>
        <w:rPr>
          <w:rFonts w:hint="eastAsia" w:ascii="宋体" w:hAnsi="宋体"/>
          <w:color w:val="000000" w:themeColor="text1"/>
          <w:szCs w:val="21"/>
          <w:highlight w:val="none"/>
          <w:lang w:val="en-US" w:eastAsia="zh-CN"/>
          <w14:textFill>
            <w14:solidFill>
              <w14:schemeClr w14:val="tx1"/>
            </w14:solidFill>
          </w14:textFill>
        </w:rPr>
        <w:t>法律顾问</w:t>
      </w:r>
      <w:r>
        <w:rPr>
          <w:rFonts w:hint="eastAsia" w:ascii="宋体" w:hAnsi="宋体"/>
          <w:color w:val="000000" w:themeColor="text1"/>
          <w:szCs w:val="21"/>
          <w:highlight w:val="none"/>
          <w:lang w:val="zh-CN" w:eastAsia="zh-CN"/>
          <w14:textFill>
            <w14:solidFill>
              <w14:schemeClr w14:val="tx1"/>
            </w14:solidFill>
          </w14:textFill>
        </w:rPr>
        <w:t>内容），</w:t>
      </w:r>
      <w:r>
        <w:rPr>
          <w:rFonts w:hint="eastAsia" w:ascii="宋体" w:hAnsi="宋体"/>
          <w:color w:val="000000" w:themeColor="text1"/>
          <w:szCs w:val="21"/>
          <w:highlight w:val="none"/>
          <w:lang w:val="en-US" w:eastAsia="zh-CN"/>
          <w14:textFill>
            <w14:solidFill>
              <w14:schemeClr w14:val="tx1"/>
            </w14:solidFill>
          </w14:textFill>
        </w:rPr>
        <w:t>医院</w:t>
      </w:r>
      <w:r>
        <w:rPr>
          <w:rFonts w:hint="eastAsia" w:ascii="宋体" w:hAnsi="宋体"/>
          <w:color w:val="000000" w:themeColor="text1"/>
          <w:szCs w:val="21"/>
          <w:highlight w:val="none"/>
          <w:lang w:val="zh-CN" w:eastAsia="zh-CN"/>
          <w14:textFill>
            <w14:solidFill>
              <w14:schemeClr w14:val="tx1"/>
            </w14:solidFill>
          </w14:textFill>
        </w:rPr>
        <w:t>不再额外支付任何费用。</w:t>
      </w:r>
    </w:p>
    <w:p>
      <w:pPr>
        <w:numPr>
          <w:ilvl w:val="0"/>
          <w:numId w:val="0"/>
        </w:numPr>
        <w:ind w:firstLine="632" w:firstLineChars="300"/>
        <w:rPr>
          <w:rFonts w:hint="default"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4.计时收费及代理争议案件费用按照以下收费标准，报下浮比例</w:t>
      </w:r>
      <w:r>
        <w:rPr>
          <w:rFonts w:hint="eastAsia" w:ascii="宋体" w:hAnsi="宋体"/>
          <w:b/>
          <w:bCs/>
          <w:color w:val="000000" w:themeColor="text1"/>
          <w:szCs w:val="21"/>
          <w:highlight w:val="none"/>
          <w:lang w:val="zh-CN"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w:t>
      </w:r>
      <w:r>
        <w:rPr>
          <w:rFonts w:hint="eastAsia" w:ascii="宋体" w:hAnsi="宋体"/>
          <w:b/>
          <w:bCs/>
          <w:color w:val="000000" w:themeColor="text1"/>
          <w:szCs w:val="21"/>
          <w:highlight w:val="none"/>
          <w:lang w:val="zh-CN" w:eastAsia="zh-CN"/>
          <w14:textFill>
            <w14:solidFill>
              <w14:schemeClr w14:val="tx1"/>
            </w14:solidFill>
          </w14:textFill>
        </w:rPr>
        <w:t>）。</w:t>
      </w:r>
    </w:p>
    <w:p>
      <w:pPr>
        <w:numPr>
          <w:ilvl w:val="0"/>
          <w:numId w:val="0"/>
        </w:numPr>
        <w:ind w:firstLine="632" w:firstLineChars="300"/>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4.1计时收费：合伙人律师每小时3000元,执业律师每小时2000元 计,助理律师每小时1000元。</w:t>
      </w:r>
    </w:p>
    <w:p>
      <w:pPr>
        <w:numPr>
          <w:ilvl w:val="0"/>
          <w:numId w:val="0"/>
        </w:numPr>
        <w:ind w:firstLine="632" w:firstLineChars="300"/>
        <w:rPr>
          <w:rFonts w:hint="eastAsia"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4.2代理争议案件费用</w:t>
      </w:r>
    </w:p>
    <w:p>
      <w:pPr>
        <w:numPr>
          <w:ilvl w:val="0"/>
          <w:numId w:val="0"/>
        </w:numPr>
        <w:ind w:firstLine="632" w:firstLineChars="300"/>
        <w:rPr>
          <w:rFonts w:hint="default"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4.2.1</w:t>
      </w:r>
      <w:r>
        <w:rPr>
          <w:rFonts w:hint="default" w:ascii="宋体" w:hAnsi="宋体"/>
          <w:b/>
          <w:bCs/>
          <w:color w:val="000000" w:themeColor="text1"/>
          <w:szCs w:val="21"/>
          <w:highlight w:val="none"/>
          <w:lang w:val="en-US" w:eastAsia="zh-CN"/>
          <w14:textFill>
            <w14:solidFill>
              <w14:schemeClr w14:val="tx1"/>
            </w14:solidFill>
          </w14:textFill>
        </w:rPr>
        <w:t>代理医院劳动争议案件</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按审判阶段分阶段收费，按标的额比例收费：5万元以下(含5万元),收费7500元；5万元至10万元(含10万元),10%</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10万元至30万元(含30万元),6%</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30万元以上，3%。按当事人争议标的额差额累进计费。</w:t>
      </w:r>
    </w:p>
    <w:p>
      <w:pPr>
        <w:numPr>
          <w:ilvl w:val="0"/>
          <w:numId w:val="0"/>
        </w:numPr>
        <w:ind w:firstLine="632" w:firstLineChars="300"/>
        <w:rPr>
          <w:rFonts w:hint="default"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4.2.2</w:t>
      </w:r>
      <w:r>
        <w:rPr>
          <w:rFonts w:hint="default" w:ascii="宋体" w:hAnsi="宋体"/>
          <w:b/>
          <w:bCs/>
          <w:color w:val="000000" w:themeColor="text1"/>
          <w:szCs w:val="21"/>
          <w:highlight w:val="none"/>
          <w:lang w:val="en-US" w:eastAsia="zh-CN"/>
          <w14:textFill>
            <w14:solidFill>
              <w14:schemeClr w14:val="tx1"/>
            </w14:solidFill>
          </w14:textFill>
        </w:rPr>
        <w:t>代理医院民事诉讼案件(包括医疗纠纷案件）</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按审判阶段分阶段收费，按标的额比例收费</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10万元以下(含10万元),10%(最低收费7500元)</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10万元至100万元(含100万元),6%</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100万元至1000万元(含1000万元),4%</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1000万元以上，2%。按当事人争议标的额差额累进计费。</w:t>
      </w:r>
    </w:p>
    <w:p>
      <w:pPr>
        <w:numPr>
          <w:ilvl w:val="0"/>
          <w:numId w:val="0"/>
        </w:numPr>
        <w:ind w:firstLine="632" w:firstLineChars="300"/>
        <w:rPr>
          <w:rFonts w:hint="default"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4.2.3</w:t>
      </w:r>
      <w:r>
        <w:rPr>
          <w:rFonts w:hint="default" w:ascii="宋体" w:hAnsi="宋体"/>
          <w:b/>
          <w:bCs/>
          <w:color w:val="000000" w:themeColor="text1"/>
          <w:szCs w:val="21"/>
          <w:highlight w:val="none"/>
          <w:lang w:val="en-US" w:eastAsia="zh-CN"/>
          <w14:textFill>
            <w14:solidFill>
              <w14:schemeClr w14:val="tx1"/>
            </w14:solidFill>
          </w14:textFill>
        </w:rPr>
        <w:t>代理医院行政诉讼案件</w:t>
      </w:r>
      <w:r>
        <w:rPr>
          <w:rFonts w:hint="eastAsia" w:ascii="宋体" w:hAnsi="宋体"/>
          <w:b/>
          <w:bCs/>
          <w:color w:val="000000" w:themeColor="text1"/>
          <w:szCs w:val="21"/>
          <w:highlight w:val="none"/>
          <w:lang w:val="en-US" w:eastAsia="zh-CN"/>
          <w14:textFill>
            <w14:solidFill>
              <w14:schemeClr w14:val="tx1"/>
            </w14:solidFill>
          </w14:textFill>
        </w:rPr>
        <w:t>：</w:t>
      </w:r>
      <w:r>
        <w:rPr>
          <w:rFonts w:hint="default" w:ascii="宋体" w:hAnsi="宋体"/>
          <w:b/>
          <w:bCs/>
          <w:color w:val="000000" w:themeColor="text1"/>
          <w:szCs w:val="21"/>
          <w:highlight w:val="none"/>
          <w:lang w:val="en-US" w:eastAsia="zh-CN"/>
          <w14:textFill>
            <w14:solidFill>
              <w14:schemeClr w14:val="tx1"/>
            </w14:solidFill>
          </w14:textFill>
        </w:rPr>
        <w:t>按审判阶段分阶段收费，计件收费：每件7500元。</w:t>
      </w:r>
    </w:p>
    <w:p>
      <w:pPr>
        <w:numPr>
          <w:ilvl w:val="0"/>
          <w:numId w:val="0"/>
        </w:numPr>
        <w:ind w:firstLine="632" w:firstLineChars="300"/>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4.3根据医院实际发生量，结合供应商所报</w:t>
      </w:r>
      <w:r>
        <w:rPr>
          <w:rFonts w:hint="eastAsia" w:ascii="宋体" w:hAnsi="宋体"/>
          <w:b/>
          <w:bCs/>
          <w:color w:val="auto"/>
          <w:szCs w:val="21"/>
          <w:highlight w:val="none"/>
          <w:lang w:val="en-US" w:eastAsia="zh-CN"/>
        </w:rPr>
        <w:t>下浮比例签订合同</w:t>
      </w:r>
      <w:r>
        <w:rPr>
          <w:rFonts w:hint="eastAsia" w:ascii="宋体" w:hAnsi="宋体"/>
          <w:b/>
          <w:bCs/>
          <w:color w:val="000000" w:themeColor="text1"/>
          <w:szCs w:val="21"/>
          <w:highlight w:val="none"/>
          <w:lang w:val="en-US" w:eastAsia="zh-CN"/>
          <w14:textFill>
            <w14:solidFill>
              <w14:schemeClr w14:val="tx1"/>
            </w14:solidFill>
          </w14:textFill>
        </w:rPr>
        <w:t>支付相关费用。</w:t>
      </w:r>
    </w:p>
    <w:p>
      <w:pPr>
        <w:pStyle w:val="20"/>
        <w:rPr>
          <w:rFonts w:ascii="宋体" w:hAnsi="宋体"/>
          <w:color w:val="000000"/>
          <w:szCs w:val="21"/>
          <w:highlight w:val="yellow"/>
          <w:lang w:val="zh-CN"/>
        </w:rPr>
      </w:pPr>
    </w:p>
    <w:p>
      <w:pPr>
        <w:pStyle w:val="20"/>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ind w:firstLine="210" w:firstLineChars="100"/>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ind w:left="210" w:hanging="210" w:hangingChars="100"/>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pPr>
        <w:rPr>
          <w:rFonts w:hint="eastAsia" w:ascii="宋体" w:hAnsi="宋体"/>
          <w:color w:val="000000"/>
          <w:szCs w:val="21"/>
          <w:lang w:val="zh-CN"/>
        </w:rPr>
      </w:pPr>
    </w:p>
    <w:p>
      <w:pPr>
        <w:ind w:firstLine="210" w:firstLineChars="100"/>
        <w:rPr>
          <w:rFonts w:hint="eastAsia" w:ascii="宋体" w:hAnsi="宋体"/>
          <w:color w:val="000000"/>
          <w:szCs w:val="21"/>
          <w:lang w:val="zh-CN"/>
        </w:rPr>
      </w:pPr>
      <w:r>
        <w:rPr>
          <w:rFonts w:hint="eastAsia" w:ascii="宋体" w:hAnsi="宋体"/>
          <w:color w:val="000000"/>
          <w:szCs w:val="21"/>
          <w:lang w:val="zh-CN"/>
        </w:rPr>
        <w:t xml:space="preserve">日期：        年    </w:t>
      </w:r>
      <w:r>
        <w:rPr>
          <w:rFonts w:hint="eastAsia" w:ascii="宋体" w:hAnsi="宋体"/>
          <w:color w:val="000000"/>
          <w:szCs w:val="21"/>
          <w:lang w:val="en-US" w:eastAsia="zh-CN"/>
        </w:rPr>
        <w:t xml:space="preserve">  </w:t>
      </w:r>
      <w:r>
        <w:rPr>
          <w:rFonts w:hint="eastAsia" w:ascii="宋体" w:hAnsi="宋体"/>
          <w:color w:val="000000"/>
          <w:szCs w:val="21"/>
          <w:lang w:val="zh-CN"/>
        </w:rPr>
        <w:t xml:space="preserve">月    </w:t>
      </w:r>
      <w:r>
        <w:rPr>
          <w:rFonts w:hint="eastAsia" w:ascii="宋体" w:hAnsi="宋体"/>
          <w:color w:val="000000"/>
          <w:szCs w:val="21"/>
          <w:lang w:val="en-US" w:eastAsia="zh-CN"/>
        </w:rPr>
        <w:t xml:space="preserve"> </w:t>
      </w:r>
      <w:r>
        <w:rPr>
          <w:rFonts w:hint="eastAsia" w:ascii="宋体" w:hAnsi="宋体"/>
          <w:color w:val="000000"/>
          <w:szCs w:val="21"/>
          <w:lang w:val="zh-CN"/>
        </w:rPr>
        <w:t>日</w:t>
      </w:r>
    </w:p>
    <w:p>
      <w:pPr>
        <w:rPr>
          <w:rFonts w:hint="eastAsia" w:ascii="宋体" w:hAnsi="宋体"/>
          <w:color w:val="000000"/>
          <w:szCs w:val="21"/>
          <w:lang w:val="zh-CN"/>
        </w:rPr>
      </w:pPr>
    </w:p>
    <w:p>
      <w:pPr>
        <w:pStyle w:val="18"/>
        <w:rPr>
          <w:rFonts w:hint="eastAsia"/>
        </w:rPr>
      </w:pPr>
    </w:p>
    <w:p>
      <w:pPr>
        <w:pStyle w:val="18"/>
        <w:rPr>
          <w:rFonts w:hint="eastAsia"/>
        </w:rPr>
      </w:pPr>
    </w:p>
    <w:p>
      <w:pPr>
        <w:rPr>
          <w:rFonts w:hint="eastAsia" w:cs="黑体"/>
          <w:bCs w:val="0"/>
          <w:color w:val="auto"/>
          <w:sz w:val="22"/>
          <w:szCs w:val="22"/>
          <w:highlight w:val="none"/>
        </w:rPr>
      </w:pPr>
      <w:r>
        <w:rPr>
          <w:rFonts w:hint="eastAsia" w:cs="黑体"/>
          <w:bCs w:val="0"/>
          <w:color w:val="auto"/>
          <w:sz w:val="22"/>
          <w:szCs w:val="22"/>
          <w:highlight w:val="none"/>
        </w:rPr>
        <w:br w:type="page"/>
      </w:r>
    </w:p>
    <w:p>
      <w:pPr>
        <w:pStyle w:val="62"/>
        <w:snapToGrid w:val="0"/>
        <w:spacing w:after="120" w:afterLines="50" w:line="360" w:lineRule="auto"/>
        <w:outlineLvl w:val="9"/>
        <w:rPr>
          <w:color w:val="000000" w:themeColor="text1"/>
          <w:sz w:val="22"/>
          <w:szCs w:val="22"/>
          <w14:textFill>
            <w14:solidFill>
              <w14:schemeClr w14:val="tx1"/>
            </w14:solidFill>
          </w14:textFill>
        </w:rPr>
      </w:pPr>
      <w:bookmarkStart w:id="28" w:name="_Toc448322559"/>
      <w:bookmarkStart w:id="29" w:name="_Toc421719955"/>
      <w:bookmarkStart w:id="30" w:name="_Toc24925"/>
      <w:bookmarkStart w:id="31" w:name="_Toc28586"/>
      <w:bookmarkStart w:id="32" w:name="_Toc508200448"/>
      <w:bookmarkStart w:id="33" w:name="_Toc17493"/>
      <w:r>
        <w:rPr>
          <w:rFonts w:hint="eastAsia"/>
          <w:color w:val="000000" w:themeColor="text1"/>
          <w:sz w:val="22"/>
          <w:szCs w:val="22"/>
          <w14:textFill>
            <w14:solidFill>
              <w14:schemeClr w14:val="tx1"/>
            </w14:solidFill>
          </w14:textFill>
        </w:rPr>
        <w:t>附件</w:t>
      </w:r>
      <w:bookmarkEnd w:id="28"/>
      <w:bookmarkEnd w:id="29"/>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30"/>
      <w:bookmarkEnd w:id="31"/>
      <w:bookmarkEnd w:id="32"/>
      <w:bookmarkEnd w:id="33"/>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北京按摩医院常年法律顾问服务项目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highlight w:val="none"/>
          <w:lang w:val="en-US" w:eastAsia="zh-CN"/>
        </w:rPr>
        <w:t xml:space="preserve">BJAMYY-2025-09-02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rFonts w:hint="eastAsia"/>
          <w:sz w:val="22"/>
        </w:rPr>
      </w:pPr>
    </w:p>
    <w:p>
      <w:pPr>
        <w:spacing w:line="360" w:lineRule="auto"/>
        <w:rPr>
          <w:rFonts w:hint="eastAsia"/>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34" w:name="_Hlt85616740"/>
      <w:bookmarkEnd w:id="34"/>
      <w:bookmarkStart w:id="35" w:name="_Hlt86808063"/>
      <w:bookmarkEnd w:id="35"/>
      <w:bookmarkStart w:id="36" w:name="_Hlt85616548"/>
      <w:bookmarkEnd w:id="36"/>
      <w:bookmarkStart w:id="37" w:name="_Toc32659"/>
      <w:bookmarkStart w:id="38" w:name="_Toc13934"/>
      <w:bookmarkStart w:id="39" w:name="_Toc21407"/>
      <w:bookmarkStart w:id="40" w:name="_Toc448322562"/>
      <w:bookmarkStart w:id="41" w:name="_Toc508200450"/>
      <w:bookmarkStart w:id="42" w:name="_Toc389141971"/>
      <w:bookmarkStart w:id="43" w:name="_Toc83547695"/>
      <w:bookmarkStart w:id="44" w:name="_Toc85430473"/>
      <w:bookmarkStart w:id="45" w:name="_Toc235857003"/>
      <w:r>
        <w:rPr>
          <w:rFonts w:hint="eastAsia"/>
          <w:sz w:val="22"/>
        </w:rPr>
        <w:t xml:space="preserve"> </w:t>
      </w:r>
      <w:r>
        <w:rPr>
          <w:sz w:val="22"/>
          <w:u w:val="single"/>
        </w:rPr>
        <w:t xml:space="preserve">                   </w:t>
      </w:r>
    </w:p>
    <w:p>
      <w:pPr>
        <w:snapToGrid w:val="0"/>
        <w:spacing w:line="360" w:lineRule="auto"/>
        <w:rPr>
          <w:sz w:val="22"/>
        </w:rPr>
      </w:pPr>
    </w:p>
    <w:p>
      <w:pPr>
        <w:pStyle w:val="18"/>
      </w:pPr>
    </w:p>
    <w:bookmarkEnd w:id="37"/>
    <w:bookmarkEnd w:id="38"/>
    <w:bookmarkEnd w:id="39"/>
    <w:p>
      <w:pPr>
        <w:pStyle w:val="62"/>
        <w:snapToGrid w:val="0"/>
        <w:spacing w:after="120" w:afterLines="50" w:line="360" w:lineRule="auto"/>
        <w:outlineLvl w:val="9"/>
        <w:rPr>
          <w:rFonts w:ascii="宋体" w:hAnsi="宋体"/>
          <w:b/>
          <w:color w:val="0000FF"/>
          <w:sz w:val="36"/>
          <w:szCs w:val="36"/>
        </w:rPr>
      </w:pPr>
      <w:bookmarkStart w:id="46" w:name="_Toc4167"/>
      <w:bookmarkStart w:id="47" w:name="_Toc8012"/>
      <w:bookmarkStart w:id="48" w:name="_Toc27381"/>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北京按摩医院常年法律顾问服务项目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highlight w:val="none"/>
          <w:lang w:val="en-US" w:eastAsia="zh-CN"/>
        </w:rPr>
        <w:t xml:space="preserve">BJAMYY-2025-09-02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偏离情况</w:t>
            </w:r>
          </w:p>
          <w:p>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rFonts w:hint="eastAsia"/>
          <w:sz w:val="22"/>
        </w:rPr>
      </w:pPr>
      <w:r>
        <w:rPr>
          <w:rFonts w:hint="eastAsia"/>
          <w:sz w:val="22"/>
        </w:rPr>
        <w:t>注：</w:t>
      </w:r>
    </w:p>
    <w:p>
      <w:pPr>
        <w:spacing w:line="360" w:lineRule="auto"/>
        <w:rPr>
          <w:rFonts w:hint="eastAsia"/>
          <w:sz w:val="22"/>
        </w:rPr>
      </w:pPr>
      <w:r>
        <w:rPr>
          <w:rFonts w:hint="eastAsia"/>
          <w:sz w:val="22"/>
        </w:rPr>
        <w:t>1. 对合同条款中的所有要求，除本表所列明的所有偏离外，均视作供应商已对之理解和响应。</w:t>
      </w:r>
    </w:p>
    <w:p>
      <w:pPr>
        <w:spacing w:line="360" w:lineRule="auto"/>
        <w:rPr>
          <w:rFonts w:hint="eastAsia"/>
          <w:sz w:val="22"/>
        </w:rPr>
      </w:pPr>
      <w:r>
        <w:rPr>
          <w:rFonts w:hint="eastAsia"/>
          <w:sz w:val="22"/>
        </w:rPr>
        <w:t>2. “偏离情况”列应据实填写“正偏离”或“负偏离”。</w:t>
      </w:r>
    </w:p>
    <w:p>
      <w:pPr>
        <w:spacing w:line="360" w:lineRule="auto"/>
        <w:rPr>
          <w:rFonts w:hint="eastAsia"/>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62"/>
        <w:snapToGrid w:val="0"/>
        <w:spacing w:after="120" w:afterLines="50" w:line="360" w:lineRule="auto"/>
        <w:outlineLvl w:val="9"/>
        <w:rPr>
          <w:rFonts w:cs="黑体"/>
          <w:bCs w:val="0"/>
          <w:sz w:val="22"/>
          <w:szCs w:val="22"/>
        </w:rPr>
      </w:pPr>
    </w:p>
    <w:p>
      <w:pPr>
        <w:pStyle w:val="62"/>
        <w:snapToGrid w:val="0"/>
        <w:spacing w:after="120" w:afterLines="50" w:line="360" w:lineRule="auto"/>
        <w:outlineLvl w:val="9"/>
        <w:rPr>
          <w:rFonts w:cs="黑体"/>
          <w:bCs w:val="0"/>
          <w:sz w:val="22"/>
          <w:szCs w:val="22"/>
        </w:rPr>
      </w:pPr>
    </w:p>
    <w:p>
      <w:pPr>
        <w:pStyle w:val="62"/>
        <w:snapToGrid w:val="0"/>
        <w:spacing w:after="120" w:afterLines="50" w:line="360" w:lineRule="auto"/>
        <w:outlineLvl w:val="9"/>
        <w:rPr>
          <w:rFonts w:cs="黑体"/>
          <w:bCs w:val="0"/>
          <w:sz w:val="22"/>
          <w:szCs w:val="22"/>
        </w:rPr>
      </w:pPr>
    </w:p>
    <w:p>
      <w:pPr>
        <w:pStyle w:val="62"/>
        <w:snapToGrid w:val="0"/>
        <w:spacing w:after="120" w:afterLines="50" w:line="360" w:lineRule="auto"/>
        <w:outlineLvl w:val="9"/>
        <w:rPr>
          <w:rFonts w:cs="黑体"/>
          <w:bCs w:val="0"/>
          <w:sz w:val="22"/>
          <w:szCs w:val="22"/>
        </w:rPr>
      </w:pPr>
    </w:p>
    <w:p>
      <w:pPr>
        <w:pStyle w:val="62"/>
        <w:snapToGrid w:val="0"/>
        <w:spacing w:after="120" w:afterLines="50" w:line="360" w:lineRule="auto"/>
        <w:outlineLvl w:val="9"/>
        <w:rPr>
          <w:rFonts w:hint="eastAsia" w:cs="黑体"/>
          <w:bCs w:val="0"/>
          <w:sz w:val="22"/>
          <w:szCs w:val="22"/>
        </w:rPr>
      </w:pPr>
    </w:p>
    <w:p>
      <w:pPr>
        <w:pStyle w:val="62"/>
        <w:snapToGrid w:val="0"/>
        <w:spacing w:after="120" w:afterLines="50" w:line="360" w:lineRule="auto"/>
        <w:outlineLvl w:val="9"/>
        <w:rPr>
          <w:rFonts w:hint="eastAsia" w:cs="黑体"/>
          <w:bCs w:val="0"/>
          <w:sz w:val="22"/>
          <w:szCs w:val="22"/>
        </w:rPr>
      </w:pPr>
    </w:p>
    <w:p>
      <w:pPr>
        <w:pStyle w:val="62"/>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4</w:t>
      </w:r>
      <w:r>
        <w:rPr>
          <w:rFonts w:cs="Arial"/>
          <w:bCs w:val="0"/>
          <w:sz w:val="22"/>
          <w:szCs w:val="22"/>
        </w:rPr>
        <w:t xml:space="preserve">  </w:t>
      </w:r>
      <w:r>
        <w:rPr>
          <w:rFonts w:hint="eastAsia" w:cs="黑体"/>
          <w:bCs w:val="0"/>
          <w:sz w:val="22"/>
          <w:szCs w:val="22"/>
        </w:rPr>
        <w:t>法定代表人</w:t>
      </w:r>
      <w:r>
        <w:rPr>
          <w:rFonts w:hint="eastAsia"/>
          <w:sz w:val="22"/>
          <w:u w:val="single"/>
        </w:rPr>
        <w:t>或</w:t>
      </w:r>
      <w:r>
        <w:rPr>
          <w:sz w:val="22"/>
          <w:u w:val="single"/>
        </w:rPr>
        <w:t>负责人</w:t>
      </w:r>
      <w:r>
        <w:rPr>
          <w:rFonts w:hint="eastAsia" w:cs="黑体"/>
          <w:bCs w:val="0"/>
          <w:sz w:val="22"/>
          <w:szCs w:val="22"/>
        </w:rPr>
        <w:t>授权书</w:t>
      </w:r>
      <w:bookmarkEnd w:id="40"/>
      <w:bookmarkEnd w:id="41"/>
      <w:bookmarkEnd w:id="42"/>
      <w:bookmarkEnd w:id="46"/>
      <w:bookmarkEnd w:id="47"/>
      <w:bookmarkEnd w:id="48"/>
    </w:p>
    <w:p>
      <w:pPr>
        <w:pStyle w:val="62"/>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w:t>
      </w:r>
      <w:r>
        <w:rPr>
          <w:rFonts w:hint="eastAsia"/>
          <w:sz w:val="22"/>
          <w:u w:val="single"/>
        </w:rPr>
        <w:t>或</w:t>
      </w:r>
      <w:r>
        <w:rPr>
          <w:sz w:val="22"/>
          <w:u w:val="single"/>
        </w:rPr>
        <w:t>负责人</w:t>
      </w:r>
      <w:r>
        <w:rPr>
          <w:rFonts w:hint="eastAsia"/>
          <w:sz w:val="22"/>
        </w:rPr>
        <w:t>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r>
        <w:rPr>
          <w:rFonts w:hint="eastAsia"/>
          <w:sz w:val="22"/>
        </w:rPr>
        <w:t xml:space="preserve">日期： </w:t>
      </w:r>
    </w:p>
    <w:p>
      <w:pPr>
        <w:snapToGrid w:val="0"/>
        <w:spacing w:line="360" w:lineRule="auto"/>
        <w:ind w:firstLine="442" w:firstLineChars="20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49" w:name="_Toc378679685"/>
      <w:r>
        <w:rPr>
          <w:rFonts w:hint="eastAsia"/>
          <w:b/>
          <w:sz w:val="22"/>
        </w:rPr>
        <w:t>（后附法定代表人</w:t>
      </w:r>
      <w:r>
        <w:rPr>
          <w:rFonts w:hint="eastAsia"/>
          <w:b w:val="0"/>
          <w:bCs w:val="0"/>
          <w:sz w:val="22"/>
          <w:u w:val="single"/>
        </w:rPr>
        <w:t>或</w:t>
      </w:r>
      <w:r>
        <w:rPr>
          <w:b w:val="0"/>
          <w:bCs w:val="0"/>
          <w:sz w:val="22"/>
          <w:u w:val="single"/>
        </w:rPr>
        <w:t>负责人</w:t>
      </w:r>
      <w:r>
        <w:rPr>
          <w:rFonts w:hint="eastAsia"/>
          <w:b/>
          <w:sz w:val="22"/>
        </w:rPr>
        <w:t>和被授权人身份证复印件加盖单位公章）</w:t>
      </w:r>
    </w:p>
    <w:bookmarkEnd w:id="43"/>
    <w:bookmarkEnd w:id="44"/>
    <w:bookmarkEnd w:id="45"/>
    <w:bookmarkEnd w:id="49"/>
    <w:p>
      <w:pPr>
        <w:spacing w:line="360" w:lineRule="auto"/>
        <w:jc w:val="center"/>
        <w:rPr>
          <w:rFonts w:hint="eastAsia" w:ascii="宋体" w:hAnsi="宋体" w:eastAsia="宋体" w:cs="宋体"/>
          <w:b/>
          <w:bCs/>
          <w:kern w:val="2"/>
          <w:sz w:val="22"/>
          <w:szCs w:val="22"/>
          <w:lang w:val="en-US" w:eastAsia="zh-CN" w:bidi="ar-SA"/>
        </w:rPr>
      </w:pPr>
      <w:bookmarkStart w:id="50" w:name="_Toc303"/>
      <w:bookmarkStart w:id="51" w:name="_Toc421719963"/>
      <w:bookmarkStart w:id="52" w:name="_Toc235857007"/>
      <w:bookmarkStart w:id="53" w:name="_Toc508200453"/>
      <w:bookmarkStart w:id="54" w:name="_Toc448322565"/>
      <w:bookmarkStart w:id="55" w:name="_Toc21503"/>
      <w:bookmarkStart w:id="56" w:name="_Toc12118"/>
      <w:r>
        <w:rPr>
          <w:rFonts w:hint="eastAsia" w:ascii="宋体" w:hAnsi="宋体" w:eastAsia="宋体" w:cs="宋体"/>
          <w:b/>
          <w:bCs/>
          <w:kern w:val="2"/>
          <w:sz w:val="22"/>
          <w:szCs w:val="22"/>
          <w:lang w:val="en-US" w:eastAsia="zh-CN" w:bidi="ar-SA"/>
        </w:rPr>
        <w:t>附件5  响应书</w:t>
      </w:r>
    </w:p>
    <w:p>
      <w:pPr>
        <w:pStyle w:val="20"/>
        <w:rPr>
          <w:rFonts w:hint="eastAsia"/>
          <w:lang w:val="en-US" w:eastAsia="zh-CN"/>
        </w:rPr>
      </w:pPr>
    </w:p>
    <w:p>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pPr>
        <w:tabs>
          <w:tab w:val="left" w:pos="5580"/>
        </w:tabs>
        <w:spacing w:line="360" w:lineRule="auto"/>
        <w:rPr>
          <w:rFonts w:ascii="宋体" w:hAnsi="宋体"/>
          <w:color w:val="000000"/>
          <w:sz w:val="22"/>
          <w:szCs w:val="22"/>
        </w:rPr>
      </w:pP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pPr>
        <w:tabs>
          <w:tab w:val="left" w:pos="5580"/>
        </w:tabs>
        <w:spacing w:line="360" w:lineRule="auto"/>
        <w:ind w:left="420"/>
        <w:rPr>
          <w:rFonts w:ascii="宋体" w:hAnsi="宋体"/>
          <w:color w:val="000000"/>
          <w:sz w:val="22"/>
          <w:szCs w:val="22"/>
        </w:rPr>
      </w:pPr>
    </w:p>
    <w:p>
      <w:pPr>
        <w:tabs>
          <w:tab w:val="left" w:pos="5580"/>
        </w:tabs>
        <w:spacing w:line="360" w:lineRule="auto"/>
        <w:ind w:left="420"/>
        <w:rPr>
          <w:rFonts w:ascii="宋体" w:hAnsi="宋体"/>
          <w:color w:val="000000"/>
          <w:sz w:val="22"/>
          <w:szCs w:val="22"/>
        </w:rPr>
      </w:pPr>
    </w:p>
    <w:p>
      <w:pPr>
        <w:pStyle w:val="18"/>
        <w:rPr>
          <w:rFonts w:ascii="宋体" w:hAnsi="宋体"/>
          <w:color w:val="000000"/>
          <w:sz w:val="22"/>
          <w:szCs w:val="22"/>
        </w:rPr>
      </w:pPr>
    </w:p>
    <w:p>
      <w:pPr>
        <w:pStyle w:val="18"/>
        <w:rPr>
          <w:rFonts w:ascii="宋体" w:hAnsi="宋体"/>
          <w:color w:val="000000"/>
          <w:sz w:val="22"/>
          <w:szCs w:val="22"/>
        </w:rPr>
      </w:pPr>
    </w:p>
    <w:p>
      <w:pPr>
        <w:pStyle w:val="18"/>
        <w:rPr>
          <w:rFonts w:ascii="宋体" w:hAnsi="宋体"/>
          <w:color w:val="000000"/>
          <w:sz w:val="22"/>
          <w:szCs w:val="22"/>
        </w:rPr>
      </w:pPr>
    </w:p>
    <w:p>
      <w:pPr>
        <w:pStyle w:val="18"/>
        <w:rPr>
          <w:rFonts w:ascii="宋体" w:hAnsi="宋体"/>
          <w:color w:val="000000"/>
          <w:sz w:val="22"/>
          <w:szCs w:val="22"/>
        </w:rPr>
      </w:pPr>
    </w:p>
    <w:p>
      <w:pPr>
        <w:tabs>
          <w:tab w:val="left" w:pos="5580"/>
        </w:tabs>
        <w:spacing w:line="360" w:lineRule="auto"/>
        <w:ind w:left="420"/>
        <w:rPr>
          <w:rFonts w:ascii="宋体" w:hAnsi="宋体"/>
          <w:color w:val="000000"/>
          <w:sz w:val="24"/>
          <w:szCs w:val="20"/>
        </w:rPr>
      </w:pPr>
    </w:p>
    <w:p>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62"/>
        <w:snapToGrid w:val="0"/>
        <w:spacing w:after="240" w:afterLines="100" w:line="360" w:lineRule="auto"/>
        <w:outlineLvl w:val="9"/>
        <w:rPr>
          <w:sz w:val="22"/>
          <w:szCs w:val="22"/>
        </w:rPr>
      </w:pPr>
    </w:p>
    <w:p>
      <w:pPr>
        <w:pStyle w:val="62"/>
        <w:snapToGrid w:val="0"/>
        <w:spacing w:after="240" w:afterLines="100" w:line="360" w:lineRule="auto"/>
        <w:outlineLvl w:val="9"/>
        <w:rPr>
          <w:rFonts w:hint="eastAsia"/>
          <w:sz w:val="22"/>
          <w:szCs w:val="22"/>
        </w:rPr>
      </w:pPr>
    </w:p>
    <w:bookmarkEnd w:id="50"/>
    <w:bookmarkEnd w:id="51"/>
    <w:bookmarkEnd w:id="52"/>
    <w:bookmarkEnd w:id="53"/>
    <w:bookmarkEnd w:id="54"/>
    <w:bookmarkEnd w:id="55"/>
    <w:bookmarkEnd w:id="56"/>
    <w:p>
      <w:pPr>
        <w:pStyle w:val="62"/>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6</w:t>
      </w:r>
      <w:r>
        <w:rPr>
          <w:sz w:val="22"/>
          <w:szCs w:val="22"/>
        </w:rPr>
        <w:t xml:space="preserve"> </w:t>
      </w:r>
      <w:r>
        <w:rPr>
          <w:rFonts w:hint="eastAsia"/>
          <w:sz w:val="22"/>
          <w:szCs w:val="22"/>
        </w:rPr>
        <w:t>资格证明文件</w:t>
      </w:r>
    </w:p>
    <w:p>
      <w:pPr>
        <w:spacing w:line="360" w:lineRule="auto"/>
        <w:rPr>
          <w:sz w:val="22"/>
        </w:rPr>
      </w:pPr>
      <w:r>
        <w:rPr>
          <w:rFonts w:hint="eastAsia"/>
          <w:sz w:val="22"/>
        </w:rPr>
        <w:t>一、目录</w:t>
      </w:r>
    </w:p>
    <w:p>
      <w:pPr>
        <w:numPr>
          <w:ilvl w:val="0"/>
          <w:numId w:val="9"/>
        </w:numPr>
        <w:tabs>
          <w:tab w:val="left" w:pos="318"/>
        </w:tabs>
        <w:snapToGrid w:val="0"/>
        <w:spacing w:line="360" w:lineRule="auto"/>
        <w:rPr>
          <w:color w:val="auto"/>
          <w:sz w:val="22"/>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律师事务所执业许可证、律师事务所执业许可证（副本）等</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相关</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资质</w:t>
      </w:r>
      <w:r>
        <w:rPr>
          <w:rFonts w:hint="eastAsia" w:asciiTheme="minorEastAsia" w:hAnsiTheme="minorEastAsia" w:cstheme="minorEastAsia"/>
          <w:i w:val="0"/>
          <w:iCs w:val="0"/>
          <w:caps w:val="0"/>
          <w:color w:val="auto"/>
          <w:spacing w:val="0"/>
          <w:kern w:val="0"/>
          <w:sz w:val="24"/>
          <w:szCs w:val="24"/>
          <w:shd w:val="clear" w:fill="FFFFFF"/>
          <w:vertAlign w:val="baseline"/>
          <w:lang w:val="en-US" w:eastAsia="zh-CN" w:bidi="ar"/>
        </w:rPr>
        <w:t>文件；</w:t>
      </w:r>
    </w:p>
    <w:p>
      <w:pPr>
        <w:numPr>
          <w:ilvl w:val="0"/>
          <w:numId w:val="9"/>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9"/>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9"/>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9"/>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9"/>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9"/>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8、</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0"/>
        </w:numPr>
        <w:spacing w:line="300" w:lineRule="auto"/>
        <w:rPr>
          <w:sz w:val="22"/>
        </w:rPr>
      </w:pPr>
      <w:r>
        <w:rPr>
          <w:rFonts w:hint="eastAsia"/>
          <w:sz w:val="22"/>
        </w:rPr>
        <w:t>以上所列资格证明文件未提供格式的，由供应商提供。</w:t>
      </w:r>
    </w:p>
    <w:p>
      <w:pPr>
        <w:numPr>
          <w:ilvl w:val="0"/>
          <w:numId w:val="10"/>
        </w:numPr>
        <w:spacing w:line="300" w:lineRule="auto"/>
        <w:rPr>
          <w:sz w:val="22"/>
        </w:rPr>
      </w:pPr>
      <w:r>
        <w:rPr>
          <w:rFonts w:hint="eastAsia"/>
          <w:sz w:val="22"/>
        </w:rPr>
        <w:t>所附格式中要求填写的全部问题和信息都必须填写。</w:t>
      </w:r>
    </w:p>
    <w:p>
      <w:pPr>
        <w:numPr>
          <w:ilvl w:val="0"/>
          <w:numId w:val="10"/>
        </w:numPr>
        <w:spacing w:line="300" w:lineRule="auto"/>
        <w:rPr>
          <w:sz w:val="22"/>
        </w:rPr>
      </w:pPr>
      <w:r>
        <w:rPr>
          <w:rFonts w:hint="eastAsia"/>
          <w:sz w:val="22"/>
        </w:rPr>
        <w:t>本资格声明的签字人应保证全部声明和填写的内容是真实的和正确的。</w:t>
      </w:r>
    </w:p>
    <w:p>
      <w:pPr>
        <w:numPr>
          <w:ilvl w:val="0"/>
          <w:numId w:val="10"/>
        </w:numPr>
        <w:spacing w:line="300" w:lineRule="auto"/>
        <w:rPr>
          <w:rFonts w:hint="eastAsia"/>
          <w:sz w:val="22"/>
        </w:rPr>
      </w:pPr>
      <w:r>
        <w:rPr>
          <w:rFonts w:hint="eastAsia"/>
          <w:sz w:val="22"/>
        </w:rPr>
        <w:t>遴选方将应用供应商提交的资料根据自己的判断和考虑决定供应商履行合同的合格性及能力。</w:t>
      </w:r>
    </w:p>
    <w:p>
      <w:pPr>
        <w:numPr>
          <w:ilvl w:val="0"/>
          <w:numId w:val="10"/>
        </w:numPr>
        <w:spacing w:line="300" w:lineRule="auto"/>
        <w:rPr>
          <w:rFonts w:hint="eastAsia"/>
          <w:sz w:val="22"/>
        </w:rPr>
      </w:pPr>
      <w:r>
        <w:rPr>
          <w:rFonts w:hint="eastAsia"/>
          <w:sz w:val="22"/>
        </w:rPr>
        <w:t>供应商提交的材料将被保密，但不退还。</w:t>
      </w:r>
    </w:p>
    <w:p>
      <w:pPr>
        <w:numPr>
          <w:ilvl w:val="0"/>
          <w:numId w:val="10"/>
        </w:numPr>
        <w:spacing w:line="300" w:lineRule="auto"/>
        <w:rPr>
          <w:rFonts w:hint="eastAsia"/>
          <w:sz w:val="22"/>
        </w:rPr>
      </w:pPr>
      <w:r>
        <w:rPr>
          <w:rFonts w:hint="eastAsia"/>
          <w:sz w:val="22"/>
        </w:rPr>
        <w:t>全部文件应按“遴选前附表”规定的份数提交。</w:t>
      </w:r>
    </w:p>
    <w:p>
      <w:pPr>
        <w:pStyle w:val="20"/>
      </w:pPr>
    </w:p>
    <w:p>
      <w:pPr>
        <w:pStyle w:val="20"/>
        <w:rPr>
          <w:rFonts w:hint="eastAsia"/>
          <w:sz w:val="22"/>
        </w:rPr>
      </w:pPr>
    </w:p>
    <w:p>
      <w:pPr>
        <w:pStyle w:val="20"/>
        <w:rPr>
          <w:rFonts w:hint="eastAsia"/>
          <w:sz w:val="22"/>
        </w:rPr>
      </w:pPr>
    </w:p>
    <w:p>
      <w:pPr>
        <w:rPr>
          <w:sz w:val="22"/>
        </w:rPr>
      </w:pPr>
    </w:p>
    <w:p>
      <w:pPr>
        <w:pStyle w:val="62"/>
        <w:snapToGrid w:val="0"/>
        <w:spacing w:after="240" w:afterLines="100" w:line="360" w:lineRule="auto"/>
        <w:jc w:val="both"/>
        <w:rPr>
          <w:b w:val="0"/>
          <w:color w:val="FF0000"/>
          <w:sz w:val="22"/>
          <w:szCs w:val="22"/>
        </w:rPr>
      </w:pPr>
    </w:p>
    <w:p>
      <w:pPr>
        <w:pStyle w:val="62"/>
        <w:snapToGrid w:val="0"/>
        <w:spacing w:after="240" w:afterLines="100" w:line="360" w:lineRule="auto"/>
        <w:jc w:val="both"/>
        <w:rPr>
          <w:b w:val="0"/>
          <w:color w:val="FF0000"/>
          <w:sz w:val="22"/>
          <w:szCs w:val="22"/>
        </w:rPr>
      </w:pPr>
    </w:p>
    <w:p>
      <w:pPr>
        <w:pStyle w:val="62"/>
        <w:snapToGrid w:val="0"/>
        <w:spacing w:after="240" w:afterLines="100" w:line="360" w:lineRule="auto"/>
        <w:jc w:val="both"/>
        <w:rPr>
          <w:b w:val="0"/>
          <w:color w:val="FF0000"/>
          <w:sz w:val="22"/>
          <w:szCs w:val="22"/>
        </w:rPr>
      </w:pPr>
    </w:p>
    <w:p>
      <w:pPr>
        <w:pStyle w:val="62"/>
        <w:snapToGrid w:val="0"/>
        <w:spacing w:after="240" w:afterLines="100" w:line="360" w:lineRule="auto"/>
        <w:jc w:val="both"/>
        <w:rPr>
          <w:b w:val="0"/>
          <w:color w:val="FF0000"/>
          <w:sz w:val="22"/>
          <w:szCs w:val="22"/>
        </w:rPr>
      </w:pPr>
    </w:p>
    <w:p>
      <w:pPr>
        <w:pStyle w:val="62"/>
        <w:snapToGrid w:val="0"/>
        <w:spacing w:after="240" w:afterLines="100" w:line="360" w:lineRule="auto"/>
        <w:jc w:val="both"/>
        <w:rPr>
          <w:rFonts w:hint="eastAsia" w:eastAsia="宋体"/>
          <w:b w:val="0"/>
          <w:color w:val="FF0000"/>
          <w:sz w:val="22"/>
          <w:szCs w:val="22"/>
          <w:lang w:eastAsia="zh-CN"/>
        </w:rPr>
      </w:pPr>
    </w:p>
    <w:p>
      <w:pPr>
        <w:rPr>
          <w:rFonts w:hint="eastAsia"/>
          <w:b/>
          <w:sz w:val="22"/>
        </w:rPr>
      </w:pPr>
      <w:r>
        <w:rPr>
          <w:rFonts w:hint="eastAsia"/>
          <w:b/>
          <w:sz w:val="22"/>
        </w:rPr>
        <w:br w:type="page"/>
      </w:r>
    </w:p>
    <w:p>
      <w:pPr>
        <w:rPr>
          <w:rFonts w:hint="eastAsia"/>
          <w:b/>
          <w:sz w:val="22"/>
        </w:rPr>
      </w:pPr>
      <w:r>
        <w:rPr>
          <w:rFonts w:hint="eastAsia"/>
          <w:b/>
          <w:sz w:val="22"/>
          <w:lang w:val="en-US" w:eastAsia="zh-CN"/>
        </w:rPr>
        <w:t>1.律师事务所执业许可证、律师事务所执业许可证（副本）等相关资质文件；</w:t>
      </w:r>
    </w:p>
    <w:p>
      <w:pPr>
        <w:rPr>
          <w:rFonts w:hint="eastAsia"/>
          <w:b/>
          <w:sz w:val="22"/>
        </w:rPr>
      </w:pPr>
      <w:r>
        <w:rPr>
          <w:rFonts w:hint="eastAsia"/>
          <w:b/>
          <w:sz w:val="22"/>
        </w:rPr>
        <w:br w:type="page"/>
      </w: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rFonts w:hint="eastAsia"/>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62"/>
        <w:snapToGrid w:val="0"/>
        <w:spacing w:after="240" w:afterLines="100" w:line="360" w:lineRule="auto"/>
        <w:ind w:firstLine="482"/>
        <w:rPr>
          <w:b w:val="0"/>
          <w:sz w:val="22"/>
          <w:szCs w:val="22"/>
        </w:rPr>
      </w:pPr>
    </w:p>
    <w:p>
      <w:pPr>
        <w:pStyle w:val="62"/>
        <w:snapToGrid w:val="0"/>
        <w:spacing w:after="240" w:afterLines="100" w:line="360" w:lineRule="auto"/>
        <w:ind w:firstLine="480"/>
        <w:jc w:val="both"/>
        <w:rPr>
          <w:b w:val="0"/>
          <w:bCs w:val="0"/>
          <w:color w:val="000000"/>
          <w:kern w:val="0"/>
          <w:sz w:val="22"/>
          <w:szCs w:val="22"/>
        </w:rPr>
      </w:pPr>
    </w:p>
    <w:p>
      <w:pPr>
        <w:pStyle w:val="62"/>
        <w:snapToGrid w:val="0"/>
        <w:spacing w:after="240" w:afterLines="100" w:line="360" w:lineRule="auto"/>
        <w:jc w:val="both"/>
        <w:rPr>
          <w:b w:val="0"/>
          <w:sz w:val="22"/>
          <w:szCs w:val="22"/>
        </w:rPr>
      </w:pPr>
    </w:p>
    <w:p>
      <w:pPr>
        <w:pStyle w:val="62"/>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eastAsia"/>
          <w:b/>
          <w:sz w:val="22"/>
          <w:lang w:val="en-US" w:eastAsia="zh-CN"/>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eastAsia"/>
          <w:b/>
          <w:sz w:val="22"/>
          <w:lang w:val="en-US" w:eastAsia="zh-CN"/>
        </w:rPr>
      </w:pPr>
      <w:r>
        <w:rPr>
          <w:rFonts w:hint="eastAsia"/>
          <w:b/>
          <w:sz w:val="22"/>
          <w:lang w:val="en-US" w:eastAsia="zh-CN"/>
        </w:rPr>
        <w:br w:type="page"/>
      </w:r>
    </w:p>
    <w:p>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br w:type="page"/>
      </w:r>
    </w:p>
    <w:p>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br w:type="page"/>
      </w:r>
    </w:p>
    <w:p>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eastAsia"/>
          <w:b/>
          <w:sz w:val="22"/>
          <w:lang w:val="en-US" w:eastAsia="zh-CN"/>
        </w:rPr>
      </w:pPr>
      <w:r>
        <w:rPr>
          <w:rFonts w:hint="eastAsia"/>
          <w:b/>
          <w:sz w:val="22"/>
          <w:lang w:val="en-US" w:eastAsia="zh-CN"/>
        </w:rPr>
        <w:br w:type="page"/>
      </w:r>
    </w:p>
    <w:p>
      <w:pPr>
        <w:rPr>
          <w:rFonts w:hint="eastAsia"/>
          <w:b/>
          <w:sz w:val="22"/>
          <w:lang w:val="en-US" w:eastAsia="zh-CN"/>
        </w:rPr>
      </w:pPr>
      <w:r>
        <w:rPr>
          <w:rFonts w:hint="eastAsia"/>
          <w:b/>
          <w:sz w:val="22"/>
          <w:lang w:val="en-US" w:eastAsia="zh-CN"/>
        </w:rPr>
        <w:t>7、非联合体进行本项目遴选承诺书--格式自拟</w:t>
      </w: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rPr>
          <w:rFonts w:hint="eastAsia"/>
          <w:b/>
          <w:sz w:val="22"/>
          <w:lang w:val="en-US" w:eastAsia="zh-CN"/>
        </w:rPr>
      </w:pPr>
      <w:r>
        <w:rPr>
          <w:rFonts w:hint="eastAsia"/>
          <w:b/>
          <w:sz w:val="22"/>
          <w:lang w:val="en-US" w:eastAsia="zh-CN"/>
        </w:rPr>
        <w:br w:type="page"/>
      </w:r>
    </w:p>
    <w:p>
      <w:pPr>
        <w:rPr>
          <w:rFonts w:hint="eastAsia"/>
          <w:b/>
          <w:sz w:val="22"/>
          <w:lang w:val="zh-CN" w:eastAsia="zh-CN"/>
        </w:rPr>
      </w:pPr>
      <w:r>
        <w:rPr>
          <w:rFonts w:hint="eastAsia"/>
          <w:b/>
          <w:sz w:val="22"/>
          <w:lang w:val="en-US" w:eastAsia="zh-CN"/>
        </w:rPr>
        <w:t>8、服务方案---格式自拟</w:t>
      </w:r>
      <w:r>
        <w:rPr>
          <w:rFonts w:hint="eastAsia"/>
          <w:b/>
          <w:sz w:val="22"/>
          <w:lang w:val="zh-CN" w:eastAsia="zh-CN"/>
        </w:rPr>
        <w:t>；</w:t>
      </w: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rPr>
          <w:rFonts w:hint="eastAsia"/>
          <w:b/>
          <w:sz w:val="22"/>
          <w:lang w:val="en-US" w:eastAsia="zh-CN"/>
        </w:rPr>
      </w:pPr>
      <w:r>
        <w:rPr>
          <w:rFonts w:hint="eastAsia"/>
          <w:b/>
          <w:sz w:val="22"/>
          <w:lang w:val="en-US" w:eastAsia="zh-CN"/>
        </w:rPr>
        <w:br w:type="page"/>
      </w:r>
    </w:p>
    <w:p>
      <w:pPr>
        <w:rPr>
          <w:rFonts w:hint="eastAsia"/>
          <w:b/>
          <w:sz w:val="22"/>
          <w:lang w:val="en-US" w:eastAsia="zh-CN"/>
        </w:rPr>
      </w:pPr>
      <w:r>
        <w:rPr>
          <w:rFonts w:hint="eastAsia"/>
          <w:b/>
          <w:sz w:val="22"/>
          <w:lang w:val="en-US" w:eastAsia="zh-CN"/>
        </w:rPr>
        <w:t>9、供应商认为需要提供的其他证明材料。</w:t>
      </w:r>
    </w:p>
    <w:p>
      <w:pPr>
        <w:rPr>
          <w:rFonts w:asciiTheme="minorEastAsia" w:hAnsiTheme="minorEastAsia"/>
          <w:b/>
          <w:color w:val="000000"/>
          <w:sz w:val="24"/>
        </w:rPr>
      </w:pPr>
    </w:p>
    <w:p>
      <w:pPr>
        <w:rPr>
          <w:rFonts w:asciiTheme="minorEastAsia" w:hAnsiTheme="minorEastAsia"/>
          <w:b/>
          <w:color w:val="000000"/>
          <w:sz w:val="24"/>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宋体 (正文)">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pPr>
              <w:pStyle w:val="20"/>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6B9467"/>
    <w:multiLevelType w:val="singleLevel"/>
    <w:tmpl w:val="2B6B9467"/>
    <w:lvl w:ilvl="0" w:tentative="0">
      <w:start w:val="5"/>
      <w:numFmt w:val="chineseCounting"/>
      <w:suff w:val="space"/>
      <w:lvlText w:val="第%1章"/>
      <w:lvlJc w:val="left"/>
      <w:rPr>
        <w:rFonts w:hint="eastAsia"/>
      </w:rPr>
    </w:lvl>
  </w:abstractNum>
  <w:abstractNum w:abstractNumId="5">
    <w:nsid w:val="2E77A76B"/>
    <w:multiLevelType w:val="singleLevel"/>
    <w:tmpl w:val="2E77A76B"/>
    <w:lvl w:ilvl="0" w:tentative="0">
      <w:start w:val="4"/>
      <w:numFmt w:val="chineseCounting"/>
      <w:suff w:val="space"/>
      <w:lvlText w:val="第%1章"/>
      <w:lvlJc w:val="left"/>
      <w:rPr>
        <w:rFonts w:hint="eastAsia"/>
      </w:rPr>
    </w:lvl>
  </w:abstractNum>
  <w:abstractNum w:abstractNumId="6">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71FE685"/>
    <w:multiLevelType w:val="singleLevel"/>
    <w:tmpl w:val="471FE685"/>
    <w:lvl w:ilvl="0" w:tentative="0">
      <w:start w:val="6"/>
      <w:numFmt w:val="chineseCounting"/>
      <w:suff w:val="space"/>
      <w:lvlText w:val="第%1章"/>
      <w:lvlJc w:val="left"/>
      <w:rPr>
        <w:rFonts w:hint="eastAsia"/>
      </w:rPr>
    </w:lvl>
  </w:abstractNum>
  <w:abstractNum w:abstractNumId="8">
    <w:nsid w:val="495749A7"/>
    <w:multiLevelType w:val="multilevel"/>
    <w:tmpl w:val="495749A7"/>
    <w:lvl w:ilvl="0" w:tentative="0">
      <w:start w:val="1"/>
      <w:numFmt w:val="japaneseCounting"/>
      <w:lvlText w:val="（%1）"/>
      <w:lvlJc w:val="left"/>
      <w:pPr>
        <w:ind w:left="1167" w:hanging="72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9">
    <w:nsid w:val="763F107F"/>
    <w:multiLevelType w:val="multilevel"/>
    <w:tmpl w:val="763F107F"/>
    <w:lvl w:ilvl="0" w:tentative="0">
      <w:start w:val="1"/>
      <w:numFmt w:val="decimal"/>
      <w:lvlText w:val="（%1）"/>
      <w:lvlJc w:val="left"/>
      <w:pPr>
        <w:tabs>
          <w:tab w:val="left" w:pos="587"/>
        </w:tabs>
        <w:ind w:left="587" w:hanging="482"/>
      </w:pPr>
      <w:rPr>
        <w:rFonts w:hint="default" w:ascii="Arial" w:hAnsi="Arial" w:eastAsia="宋体" w:cs="Arial"/>
        <w:b w:val="0"/>
        <w:i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17A2A54"/>
    <w:rsid w:val="020C3668"/>
    <w:rsid w:val="02250EFC"/>
    <w:rsid w:val="025C46AF"/>
    <w:rsid w:val="0269166D"/>
    <w:rsid w:val="02787A46"/>
    <w:rsid w:val="02FC31D1"/>
    <w:rsid w:val="03053FAB"/>
    <w:rsid w:val="03810D5A"/>
    <w:rsid w:val="03BF2A37"/>
    <w:rsid w:val="03CC656D"/>
    <w:rsid w:val="044A1CD3"/>
    <w:rsid w:val="047F6411"/>
    <w:rsid w:val="04AA0E77"/>
    <w:rsid w:val="04DB0CE0"/>
    <w:rsid w:val="05340028"/>
    <w:rsid w:val="05487B14"/>
    <w:rsid w:val="060A47A8"/>
    <w:rsid w:val="063E0A32"/>
    <w:rsid w:val="0665076A"/>
    <w:rsid w:val="06B05D82"/>
    <w:rsid w:val="06B275D4"/>
    <w:rsid w:val="06D742F5"/>
    <w:rsid w:val="07831619"/>
    <w:rsid w:val="07916D09"/>
    <w:rsid w:val="079B039F"/>
    <w:rsid w:val="07D25D65"/>
    <w:rsid w:val="07D7113E"/>
    <w:rsid w:val="07FE5178"/>
    <w:rsid w:val="08601579"/>
    <w:rsid w:val="086C6AA6"/>
    <w:rsid w:val="08B86056"/>
    <w:rsid w:val="09291B77"/>
    <w:rsid w:val="09564AB1"/>
    <w:rsid w:val="09913A38"/>
    <w:rsid w:val="09FD5367"/>
    <w:rsid w:val="0A794667"/>
    <w:rsid w:val="0AD40618"/>
    <w:rsid w:val="0C0369A6"/>
    <w:rsid w:val="0C0C68EF"/>
    <w:rsid w:val="0CA44AAF"/>
    <w:rsid w:val="0CDD7E56"/>
    <w:rsid w:val="0D141097"/>
    <w:rsid w:val="0D387C9B"/>
    <w:rsid w:val="0D401525"/>
    <w:rsid w:val="0D7C5AB2"/>
    <w:rsid w:val="0DBD4932"/>
    <w:rsid w:val="0DFD07CC"/>
    <w:rsid w:val="0E070BB1"/>
    <w:rsid w:val="0E416E8D"/>
    <w:rsid w:val="0E7B2823"/>
    <w:rsid w:val="0EDB635E"/>
    <w:rsid w:val="0F1B799C"/>
    <w:rsid w:val="0F346E76"/>
    <w:rsid w:val="0FA14B63"/>
    <w:rsid w:val="0FD3668F"/>
    <w:rsid w:val="100F506E"/>
    <w:rsid w:val="101C7E7E"/>
    <w:rsid w:val="102239F2"/>
    <w:rsid w:val="106645B9"/>
    <w:rsid w:val="10A646A6"/>
    <w:rsid w:val="11273835"/>
    <w:rsid w:val="113E0F04"/>
    <w:rsid w:val="11FF75F4"/>
    <w:rsid w:val="120D7991"/>
    <w:rsid w:val="122E2177"/>
    <w:rsid w:val="1260374F"/>
    <w:rsid w:val="12726ED9"/>
    <w:rsid w:val="127405EC"/>
    <w:rsid w:val="12B94041"/>
    <w:rsid w:val="12D857BC"/>
    <w:rsid w:val="134F3811"/>
    <w:rsid w:val="13B74DE6"/>
    <w:rsid w:val="14082BE5"/>
    <w:rsid w:val="1424321C"/>
    <w:rsid w:val="14BD174C"/>
    <w:rsid w:val="14D64C58"/>
    <w:rsid w:val="15432FF0"/>
    <w:rsid w:val="157D6A6D"/>
    <w:rsid w:val="16231F27"/>
    <w:rsid w:val="16556050"/>
    <w:rsid w:val="167E0EA8"/>
    <w:rsid w:val="16A76901"/>
    <w:rsid w:val="16EE3B58"/>
    <w:rsid w:val="17076CA9"/>
    <w:rsid w:val="17433D22"/>
    <w:rsid w:val="17D05A70"/>
    <w:rsid w:val="184524CF"/>
    <w:rsid w:val="18491BE4"/>
    <w:rsid w:val="18583707"/>
    <w:rsid w:val="18A23BE0"/>
    <w:rsid w:val="18E356F5"/>
    <w:rsid w:val="191B7132"/>
    <w:rsid w:val="192F1074"/>
    <w:rsid w:val="19686FA7"/>
    <w:rsid w:val="19906A50"/>
    <w:rsid w:val="199C38C7"/>
    <w:rsid w:val="1A0F0C21"/>
    <w:rsid w:val="1ACC66E4"/>
    <w:rsid w:val="1AEB1208"/>
    <w:rsid w:val="1AF215D6"/>
    <w:rsid w:val="1B304C62"/>
    <w:rsid w:val="1B33302E"/>
    <w:rsid w:val="1B3C4A90"/>
    <w:rsid w:val="1B74131E"/>
    <w:rsid w:val="1BAB259B"/>
    <w:rsid w:val="1BD05799"/>
    <w:rsid w:val="1BE93A56"/>
    <w:rsid w:val="1BEF010F"/>
    <w:rsid w:val="1C1C4E6A"/>
    <w:rsid w:val="1C4E0044"/>
    <w:rsid w:val="1CDA105D"/>
    <w:rsid w:val="1D02176B"/>
    <w:rsid w:val="1D063C00"/>
    <w:rsid w:val="1D0B577E"/>
    <w:rsid w:val="1D1C22D8"/>
    <w:rsid w:val="1D2D1432"/>
    <w:rsid w:val="1D633899"/>
    <w:rsid w:val="1D8263C6"/>
    <w:rsid w:val="1DB73A35"/>
    <w:rsid w:val="1E227421"/>
    <w:rsid w:val="1E805C34"/>
    <w:rsid w:val="1EE71C56"/>
    <w:rsid w:val="1F9E3092"/>
    <w:rsid w:val="1FFE3EEA"/>
    <w:rsid w:val="20051698"/>
    <w:rsid w:val="20614A3D"/>
    <w:rsid w:val="208B2D23"/>
    <w:rsid w:val="20C816AD"/>
    <w:rsid w:val="20CC58CF"/>
    <w:rsid w:val="210668C5"/>
    <w:rsid w:val="2180624F"/>
    <w:rsid w:val="21CB54CD"/>
    <w:rsid w:val="222A3CF7"/>
    <w:rsid w:val="227C6C71"/>
    <w:rsid w:val="22815533"/>
    <w:rsid w:val="22A31EF1"/>
    <w:rsid w:val="22CB22D5"/>
    <w:rsid w:val="22E62E63"/>
    <w:rsid w:val="231E22CF"/>
    <w:rsid w:val="234E595C"/>
    <w:rsid w:val="236B022A"/>
    <w:rsid w:val="23B02B6D"/>
    <w:rsid w:val="24291923"/>
    <w:rsid w:val="246E0177"/>
    <w:rsid w:val="2483708B"/>
    <w:rsid w:val="24CB2A04"/>
    <w:rsid w:val="251E15E9"/>
    <w:rsid w:val="255C0BE7"/>
    <w:rsid w:val="25D110CA"/>
    <w:rsid w:val="261070A5"/>
    <w:rsid w:val="270E3755"/>
    <w:rsid w:val="272D6CD8"/>
    <w:rsid w:val="286C4012"/>
    <w:rsid w:val="28B26278"/>
    <w:rsid w:val="28C9603D"/>
    <w:rsid w:val="28CA40A0"/>
    <w:rsid w:val="28F22F54"/>
    <w:rsid w:val="28F23C50"/>
    <w:rsid w:val="291050EE"/>
    <w:rsid w:val="296070C1"/>
    <w:rsid w:val="29B41E53"/>
    <w:rsid w:val="29E53F2E"/>
    <w:rsid w:val="2A306760"/>
    <w:rsid w:val="2A592649"/>
    <w:rsid w:val="2AA77A7B"/>
    <w:rsid w:val="2AEA1E25"/>
    <w:rsid w:val="2B463EF4"/>
    <w:rsid w:val="2B74384B"/>
    <w:rsid w:val="2C183950"/>
    <w:rsid w:val="2CF14AAA"/>
    <w:rsid w:val="2D1F0EC1"/>
    <w:rsid w:val="2D686D45"/>
    <w:rsid w:val="2DAB2949"/>
    <w:rsid w:val="2DD9710F"/>
    <w:rsid w:val="2E955A9D"/>
    <w:rsid w:val="2EA77AB7"/>
    <w:rsid w:val="2EC45ED2"/>
    <w:rsid w:val="2F28312B"/>
    <w:rsid w:val="2F5E5499"/>
    <w:rsid w:val="2FB92659"/>
    <w:rsid w:val="2FEB381E"/>
    <w:rsid w:val="302F344D"/>
    <w:rsid w:val="307A4F3B"/>
    <w:rsid w:val="30B214B0"/>
    <w:rsid w:val="30D07C22"/>
    <w:rsid w:val="30E553A4"/>
    <w:rsid w:val="30F73DC1"/>
    <w:rsid w:val="31164EE4"/>
    <w:rsid w:val="31B703A9"/>
    <w:rsid w:val="321C3976"/>
    <w:rsid w:val="32205224"/>
    <w:rsid w:val="326351F9"/>
    <w:rsid w:val="32683B37"/>
    <w:rsid w:val="327B48BC"/>
    <w:rsid w:val="33031886"/>
    <w:rsid w:val="33045B03"/>
    <w:rsid w:val="331F3A02"/>
    <w:rsid w:val="3344502A"/>
    <w:rsid w:val="334F6D3D"/>
    <w:rsid w:val="33C54D59"/>
    <w:rsid w:val="33F22ACC"/>
    <w:rsid w:val="342F5FFA"/>
    <w:rsid w:val="34B75160"/>
    <w:rsid w:val="3508057A"/>
    <w:rsid w:val="3526658E"/>
    <w:rsid w:val="35325B6D"/>
    <w:rsid w:val="35472BB0"/>
    <w:rsid w:val="35CB37E1"/>
    <w:rsid w:val="35E83B9C"/>
    <w:rsid w:val="3609120D"/>
    <w:rsid w:val="36A22794"/>
    <w:rsid w:val="37067454"/>
    <w:rsid w:val="37335959"/>
    <w:rsid w:val="37CB1554"/>
    <w:rsid w:val="37E372EE"/>
    <w:rsid w:val="385D09A1"/>
    <w:rsid w:val="38765C86"/>
    <w:rsid w:val="38AB67FB"/>
    <w:rsid w:val="38BE7847"/>
    <w:rsid w:val="39355133"/>
    <w:rsid w:val="39650DD8"/>
    <w:rsid w:val="397758F1"/>
    <w:rsid w:val="39A75CCC"/>
    <w:rsid w:val="39FF5771"/>
    <w:rsid w:val="3AA7192A"/>
    <w:rsid w:val="3AAC5D51"/>
    <w:rsid w:val="3AF04CFB"/>
    <w:rsid w:val="3B21725E"/>
    <w:rsid w:val="3B2B52D8"/>
    <w:rsid w:val="3B5A5844"/>
    <w:rsid w:val="3B7E44F9"/>
    <w:rsid w:val="3B7F6BF4"/>
    <w:rsid w:val="3B8764B5"/>
    <w:rsid w:val="3BDA5FE2"/>
    <w:rsid w:val="3BF227E9"/>
    <w:rsid w:val="3C2624D1"/>
    <w:rsid w:val="3C4147FD"/>
    <w:rsid w:val="3CFA5C3A"/>
    <w:rsid w:val="3D7126CC"/>
    <w:rsid w:val="3D784FED"/>
    <w:rsid w:val="3D876102"/>
    <w:rsid w:val="3D8B72C4"/>
    <w:rsid w:val="3DE27716"/>
    <w:rsid w:val="3DFA2BBE"/>
    <w:rsid w:val="3E8D1D9A"/>
    <w:rsid w:val="3F08763A"/>
    <w:rsid w:val="3F607CD9"/>
    <w:rsid w:val="3F9B4D39"/>
    <w:rsid w:val="3FA0003D"/>
    <w:rsid w:val="3FA32539"/>
    <w:rsid w:val="3FD8284D"/>
    <w:rsid w:val="40646D0C"/>
    <w:rsid w:val="40B11399"/>
    <w:rsid w:val="40D70B6D"/>
    <w:rsid w:val="40DE261A"/>
    <w:rsid w:val="40F77D3F"/>
    <w:rsid w:val="41016884"/>
    <w:rsid w:val="41C76309"/>
    <w:rsid w:val="41DF489C"/>
    <w:rsid w:val="441D16AC"/>
    <w:rsid w:val="441F4FD2"/>
    <w:rsid w:val="445104BA"/>
    <w:rsid w:val="44A41DCD"/>
    <w:rsid w:val="45006A87"/>
    <w:rsid w:val="45171D7D"/>
    <w:rsid w:val="45434A55"/>
    <w:rsid w:val="45761ABE"/>
    <w:rsid w:val="45F973BF"/>
    <w:rsid w:val="45FE72BB"/>
    <w:rsid w:val="46054AED"/>
    <w:rsid w:val="462A4554"/>
    <w:rsid w:val="4666070F"/>
    <w:rsid w:val="46E147D5"/>
    <w:rsid w:val="47150EAC"/>
    <w:rsid w:val="47591C13"/>
    <w:rsid w:val="47AC1C02"/>
    <w:rsid w:val="486B518E"/>
    <w:rsid w:val="48971FAA"/>
    <w:rsid w:val="48D5314E"/>
    <w:rsid w:val="48E1714C"/>
    <w:rsid w:val="48ED211E"/>
    <w:rsid w:val="490B5F77"/>
    <w:rsid w:val="491A2F5F"/>
    <w:rsid w:val="495A28A0"/>
    <w:rsid w:val="495C6E11"/>
    <w:rsid w:val="498A6BDA"/>
    <w:rsid w:val="49C425C9"/>
    <w:rsid w:val="49D62A28"/>
    <w:rsid w:val="4AEC7439"/>
    <w:rsid w:val="4B47593A"/>
    <w:rsid w:val="4CD1459A"/>
    <w:rsid w:val="4D035851"/>
    <w:rsid w:val="4D245C44"/>
    <w:rsid w:val="4D312395"/>
    <w:rsid w:val="4D410CA2"/>
    <w:rsid w:val="4D5F0F87"/>
    <w:rsid w:val="4D6441CF"/>
    <w:rsid w:val="4D763339"/>
    <w:rsid w:val="4D8D060F"/>
    <w:rsid w:val="4DA14869"/>
    <w:rsid w:val="4F2F0A6D"/>
    <w:rsid w:val="4F440FC4"/>
    <w:rsid w:val="50C04E46"/>
    <w:rsid w:val="50E23A7F"/>
    <w:rsid w:val="514F460F"/>
    <w:rsid w:val="51513783"/>
    <w:rsid w:val="518B71CB"/>
    <w:rsid w:val="51F36403"/>
    <w:rsid w:val="521E6630"/>
    <w:rsid w:val="524C7ACA"/>
    <w:rsid w:val="527E6660"/>
    <w:rsid w:val="53031866"/>
    <w:rsid w:val="53155F5F"/>
    <w:rsid w:val="53A64CDA"/>
    <w:rsid w:val="53CC3390"/>
    <w:rsid w:val="548D4D3E"/>
    <w:rsid w:val="5492704A"/>
    <w:rsid w:val="54E21DD8"/>
    <w:rsid w:val="5511639A"/>
    <w:rsid w:val="551672B2"/>
    <w:rsid w:val="553751CD"/>
    <w:rsid w:val="558B4A7C"/>
    <w:rsid w:val="56725CDF"/>
    <w:rsid w:val="56B20ABD"/>
    <w:rsid w:val="56BC4ADC"/>
    <w:rsid w:val="56CA779C"/>
    <w:rsid w:val="56F95ED2"/>
    <w:rsid w:val="57266709"/>
    <w:rsid w:val="576D3A76"/>
    <w:rsid w:val="577C7118"/>
    <w:rsid w:val="579D4B56"/>
    <w:rsid w:val="57A20A02"/>
    <w:rsid w:val="57A3527B"/>
    <w:rsid w:val="58555750"/>
    <w:rsid w:val="586E6522"/>
    <w:rsid w:val="58D16E92"/>
    <w:rsid w:val="58EB3E5E"/>
    <w:rsid w:val="58FB0E8F"/>
    <w:rsid w:val="591C4EBD"/>
    <w:rsid w:val="597D4C6F"/>
    <w:rsid w:val="59F029CC"/>
    <w:rsid w:val="59F6656B"/>
    <w:rsid w:val="5AA1078A"/>
    <w:rsid w:val="5ACA17FE"/>
    <w:rsid w:val="5B146511"/>
    <w:rsid w:val="5B2335F4"/>
    <w:rsid w:val="5B671794"/>
    <w:rsid w:val="5B8C73EB"/>
    <w:rsid w:val="5B913063"/>
    <w:rsid w:val="5BBF29BB"/>
    <w:rsid w:val="5BC86507"/>
    <w:rsid w:val="5BF07746"/>
    <w:rsid w:val="5C440AC4"/>
    <w:rsid w:val="5CA911A4"/>
    <w:rsid w:val="5CD55496"/>
    <w:rsid w:val="5D942FB9"/>
    <w:rsid w:val="5D954414"/>
    <w:rsid w:val="5DC53034"/>
    <w:rsid w:val="5E380208"/>
    <w:rsid w:val="5E3C5072"/>
    <w:rsid w:val="5E961991"/>
    <w:rsid w:val="5EAB64F0"/>
    <w:rsid w:val="5EEE57C7"/>
    <w:rsid w:val="5F221E14"/>
    <w:rsid w:val="5F557AF4"/>
    <w:rsid w:val="60190816"/>
    <w:rsid w:val="605A3CA3"/>
    <w:rsid w:val="608A01DE"/>
    <w:rsid w:val="608C1D25"/>
    <w:rsid w:val="60D957AA"/>
    <w:rsid w:val="610E05ED"/>
    <w:rsid w:val="6153581F"/>
    <w:rsid w:val="6153783E"/>
    <w:rsid w:val="615F3E12"/>
    <w:rsid w:val="61A82D91"/>
    <w:rsid w:val="61B97CCA"/>
    <w:rsid w:val="61F1723C"/>
    <w:rsid w:val="623C4F9B"/>
    <w:rsid w:val="62570266"/>
    <w:rsid w:val="62980CCF"/>
    <w:rsid w:val="62C60519"/>
    <w:rsid w:val="62E077C0"/>
    <w:rsid w:val="630A561C"/>
    <w:rsid w:val="63175F68"/>
    <w:rsid w:val="631B17FB"/>
    <w:rsid w:val="63632C62"/>
    <w:rsid w:val="63A220A6"/>
    <w:rsid w:val="63BC37DB"/>
    <w:rsid w:val="63FE73EE"/>
    <w:rsid w:val="64031037"/>
    <w:rsid w:val="641E17BE"/>
    <w:rsid w:val="64383A1D"/>
    <w:rsid w:val="6457430E"/>
    <w:rsid w:val="64746C6E"/>
    <w:rsid w:val="648D5F82"/>
    <w:rsid w:val="64B63248"/>
    <w:rsid w:val="651E2B7F"/>
    <w:rsid w:val="65384140"/>
    <w:rsid w:val="65540E61"/>
    <w:rsid w:val="65710BF4"/>
    <w:rsid w:val="66122291"/>
    <w:rsid w:val="66176CFD"/>
    <w:rsid w:val="664D3C1B"/>
    <w:rsid w:val="666B4AA6"/>
    <w:rsid w:val="66954D96"/>
    <w:rsid w:val="66A01E2A"/>
    <w:rsid w:val="66E4096E"/>
    <w:rsid w:val="66F26570"/>
    <w:rsid w:val="6707165A"/>
    <w:rsid w:val="670F2BB9"/>
    <w:rsid w:val="67781F76"/>
    <w:rsid w:val="67F26138"/>
    <w:rsid w:val="67FE3F03"/>
    <w:rsid w:val="69330081"/>
    <w:rsid w:val="697B0A9F"/>
    <w:rsid w:val="6992337F"/>
    <w:rsid w:val="69B81479"/>
    <w:rsid w:val="6A7A6D6E"/>
    <w:rsid w:val="6A877127"/>
    <w:rsid w:val="6AE40DC4"/>
    <w:rsid w:val="6B442BC4"/>
    <w:rsid w:val="6BAC3201"/>
    <w:rsid w:val="6BFC5C00"/>
    <w:rsid w:val="6C041E32"/>
    <w:rsid w:val="6C403951"/>
    <w:rsid w:val="6C8639E2"/>
    <w:rsid w:val="6D0C4EB3"/>
    <w:rsid w:val="6D737255"/>
    <w:rsid w:val="6DAE4A0B"/>
    <w:rsid w:val="6DD977C8"/>
    <w:rsid w:val="6E084D5B"/>
    <w:rsid w:val="6E1956CF"/>
    <w:rsid w:val="6E3A1DCA"/>
    <w:rsid w:val="6E3E1A50"/>
    <w:rsid w:val="6EE45602"/>
    <w:rsid w:val="6EF87DE5"/>
    <w:rsid w:val="6F544459"/>
    <w:rsid w:val="6F75090E"/>
    <w:rsid w:val="706B71F0"/>
    <w:rsid w:val="711354CB"/>
    <w:rsid w:val="712F47EA"/>
    <w:rsid w:val="714754F4"/>
    <w:rsid w:val="71560842"/>
    <w:rsid w:val="71A46AA6"/>
    <w:rsid w:val="71D6632D"/>
    <w:rsid w:val="72895FDA"/>
    <w:rsid w:val="72AC6E77"/>
    <w:rsid w:val="72B903E5"/>
    <w:rsid w:val="72B91A24"/>
    <w:rsid w:val="730E408A"/>
    <w:rsid w:val="73353A6C"/>
    <w:rsid w:val="737C3A9F"/>
    <w:rsid w:val="7385679D"/>
    <w:rsid w:val="7387268E"/>
    <w:rsid w:val="73DC2A86"/>
    <w:rsid w:val="74F104CB"/>
    <w:rsid w:val="759A05E0"/>
    <w:rsid w:val="75BB01E2"/>
    <w:rsid w:val="75ED109D"/>
    <w:rsid w:val="762B6EE1"/>
    <w:rsid w:val="76371655"/>
    <w:rsid w:val="76B07CC5"/>
    <w:rsid w:val="76B31878"/>
    <w:rsid w:val="76B72AB3"/>
    <w:rsid w:val="76C77F3A"/>
    <w:rsid w:val="777A4DE2"/>
    <w:rsid w:val="77C061E1"/>
    <w:rsid w:val="77D2449C"/>
    <w:rsid w:val="77FE11B8"/>
    <w:rsid w:val="78F148D9"/>
    <w:rsid w:val="78F536B2"/>
    <w:rsid w:val="79205699"/>
    <w:rsid w:val="79616C73"/>
    <w:rsid w:val="79742A0F"/>
    <w:rsid w:val="798464EA"/>
    <w:rsid w:val="79BD3CEA"/>
    <w:rsid w:val="7A21134D"/>
    <w:rsid w:val="7A886347"/>
    <w:rsid w:val="7AD037D6"/>
    <w:rsid w:val="7ADB5FE6"/>
    <w:rsid w:val="7B0827B4"/>
    <w:rsid w:val="7B9B2DB7"/>
    <w:rsid w:val="7BB04844"/>
    <w:rsid w:val="7C0C2403"/>
    <w:rsid w:val="7C107310"/>
    <w:rsid w:val="7C4D5F8D"/>
    <w:rsid w:val="7CE21998"/>
    <w:rsid w:val="7D7E2564"/>
    <w:rsid w:val="7DB36F46"/>
    <w:rsid w:val="7DEB5D9B"/>
    <w:rsid w:val="7E331057"/>
    <w:rsid w:val="7E3F7C92"/>
    <w:rsid w:val="7EA81009"/>
    <w:rsid w:val="7F20639F"/>
    <w:rsid w:val="7F3E1A9E"/>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38"/>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41"/>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42"/>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43"/>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44"/>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2">
    <w:name w:val="annotation text"/>
    <w:basedOn w:val="1"/>
    <w:link w:val="52"/>
    <w:semiHidden/>
    <w:qFormat/>
    <w:uiPriority w:val="0"/>
    <w:pPr>
      <w:jc w:val="left"/>
    </w:pPr>
    <w:rPr>
      <w:rFonts w:ascii="Times New Roman" w:hAnsi="Times New Roman"/>
      <w:szCs w:val="24"/>
    </w:rPr>
  </w:style>
  <w:style w:type="paragraph" w:styleId="13">
    <w:name w:val="Body Text"/>
    <w:basedOn w:val="1"/>
    <w:next w:val="14"/>
    <w:link w:val="57"/>
    <w:qFormat/>
    <w:uiPriority w:val="1"/>
    <w:pPr>
      <w:autoSpaceDE w:val="0"/>
      <w:autoSpaceDN w:val="0"/>
      <w:jc w:val="left"/>
    </w:pPr>
    <w:rPr>
      <w:rFonts w:ascii="宋体" w:hAnsi="宋体" w:eastAsia="宋体" w:cs="宋体"/>
      <w:kern w:val="0"/>
      <w:sz w:val="28"/>
      <w:szCs w:val="28"/>
      <w:lang w:val="zh-CN" w:bidi="zh-CN"/>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Body Text Indent"/>
    <w:basedOn w:val="1"/>
    <w:unhideWhenUsed/>
    <w:qFormat/>
    <w:uiPriority w:val="0"/>
    <w:pPr>
      <w:ind w:left="27" w:hanging="27"/>
      <w:jc w:val="left"/>
    </w:pPr>
    <w:rPr>
      <w:szCs w:val="20"/>
    </w:rPr>
  </w:style>
  <w:style w:type="paragraph" w:styleId="16">
    <w:name w:val="Block Text"/>
    <w:basedOn w:val="1"/>
    <w:qFormat/>
    <w:uiPriority w:val="99"/>
    <w:pPr>
      <w:widowControl/>
      <w:ind w:left="480" w:right="-341" w:firstLine="513"/>
    </w:pPr>
    <w:rPr>
      <w:kern w:val="0"/>
      <w:sz w:val="24"/>
      <w:szCs w:val="20"/>
    </w:rPr>
  </w:style>
  <w:style w:type="paragraph" w:styleId="17">
    <w:name w:val="Plain Text"/>
    <w:basedOn w:val="1"/>
    <w:unhideWhenUsed/>
    <w:qFormat/>
    <w:uiPriority w:val="0"/>
    <w:rPr>
      <w:rFonts w:ascii="宋体" w:hAnsi="Courier New"/>
    </w:rPr>
  </w:style>
  <w:style w:type="paragraph" w:styleId="18">
    <w:name w:val="Body Text Indent 2"/>
    <w:basedOn w:val="1"/>
    <w:qFormat/>
    <w:uiPriority w:val="0"/>
    <w:pPr>
      <w:spacing w:line="480" w:lineRule="auto"/>
      <w:ind w:left="420" w:leftChars="200"/>
    </w:pPr>
  </w:style>
  <w:style w:type="paragraph" w:styleId="19">
    <w:name w:val="Balloon Text"/>
    <w:basedOn w:val="1"/>
    <w:link w:val="48"/>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rPr>
      <w:rFonts w:ascii="Times New Roman" w:hAnsi="Times New Roman" w:eastAsia="宋体" w:cs="Times New Roman"/>
      <w:szCs w:val="24"/>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5">
    <w:name w:val="index 1"/>
    <w:basedOn w:val="1"/>
    <w:next w:val="1"/>
    <w:semiHidden/>
    <w:unhideWhenUsed/>
    <w:qFormat/>
    <w:uiPriority w:val="0"/>
    <w:rPr>
      <w:rFonts w:ascii="Times New Roman" w:hAnsi="Times New Roman" w:eastAsia="宋体" w:cs="Times New Roman"/>
      <w:szCs w:val="20"/>
    </w:rPr>
  </w:style>
  <w:style w:type="paragraph" w:styleId="26">
    <w:name w:val="Title"/>
    <w:basedOn w:val="1"/>
    <w:link w:val="63"/>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12"/>
    <w:next w:val="12"/>
    <w:link w:val="64"/>
    <w:semiHidden/>
    <w:unhideWhenUsed/>
    <w:qFormat/>
    <w:uiPriority w:val="99"/>
    <w:rPr>
      <w:rFonts w:asciiTheme="minorHAnsi" w:hAnsiTheme="minorHAnsi"/>
      <w:b/>
      <w:bCs/>
      <w:szCs w:val="22"/>
    </w:rPr>
  </w:style>
  <w:style w:type="paragraph" w:styleId="28">
    <w:name w:val="Body Text First Indent"/>
    <w:basedOn w:val="13"/>
    <w:qFormat/>
    <w:uiPriority w:val="0"/>
    <w:pPr>
      <w:tabs>
        <w:tab w:val="left" w:pos="567"/>
      </w:tabs>
      <w:ind w:firstLine="420" w:firstLineChars="100"/>
    </w:pPr>
  </w:style>
  <w:style w:type="paragraph" w:styleId="29">
    <w:name w:val="Body Text First Indent 2"/>
    <w:basedOn w:val="15"/>
    <w:next w:val="1"/>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31">
    <w:name w:val="Table Grid"/>
    <w:basedOn w:val="3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basedOn w:val="32"/>
    <w:semiHidden/>
    <w:unhideWhenUsed/>
    <w:qFormat/>
    <w:uiPriority w:val="99"/>
    <w:rPr>
      <w:sz w:val="21"/>
      <w:szCs w:val="21"/>
    </w:rPr>
  </w:style>
  <w:style w:type="character" w:customStyle="1" w:styleId="37">
    <w:name w:val="标题 1 字符"/>
    <w:basedOn w:val="32"/>
    <w:link w:val="2"/>
    <w:qFormat/>
    <w:uiPriority w:val="0"/>
    <w:rPr>
      <w:rFonts w:ascii="宋体"/>
      <w:b/>
      <w:kern w:val="44"/>
      <w:sz w:val="32"/>
      <w:szCs w:val="20"/>
    </w:rPr>
  </w:style>
  <w:style w:type="character" w:customStyle="1" w:styleId="38">
    <w:name w:val="标题 2 字符"/>
    <w:basedOn w:val="32"/>
    <w:link w:val="3"/>
    <w:qFormat/>
    <w:uiPriority w:val="9"/>
    <w:rPr>
      <w:rFonts w:ascii="Arial" w:hAnsi="Arial" w:eastAsia="黑体" w:cs="Times New Roman"/>
      <w:b/>
      <w:bCs/>
      <w:kern w:val="0"/>
      <w:sz w:val="32"/>
      <w:szCs w:val="32"/>
    </w:rPr>
  </w:style>
  <w:style w:type="character" w:customStyle="1" w:styleId="39">
    <w:name w:val="标题 3 字符"/>
    <w:basedOn w:val="32"/>
    <w:link w:val="4"/>
    <w:semiHidden/>
    <w:qFormat/>
    <w:uiPriority w:val="9"/>
    <w:rPr>
      <w:b/>
      <w:bCs/>
      <w:sz w:val="32"/>
      <w:szCs w:val="32"/>
    </w:rPr>
  </w:style>
  <w:style w:type="character" w:customStyle="1" w:styleId="40">
    <w:name w:val="标题 4 字符"/>
    <w:basedOn w:val="32"/>
    <w:link w:val="5"/>
    <w:qFormat/>
    <w:uiPriority w:val="0"/>
    <w:rPr>
      <w:rFonts w:ascii="Arial" w:hAnsi="Arial" w:eastAsia="黑体" w:cs="Times New Roman"/>
      <w:b/>
      <w:bCs/>
      <w:kern w:val="0"/>
      <w:sz w:val="28"/>
      <w:szCs w:val="28"/>
    </w:rPr>
  </w:style>
  <w:style w:type="character" w:customStyle="1" w:styleId="41">
    <w:name w:val="标题 5 字符"/>
    <w:basedOn w:val="32"/>
    <w:link w:val="6"/>
    <w:qFormat/>
    <w:uiPriority w:val="0"/>
    <w:rPr>
      <w:rFonts w:ascii="Times New Roman" w:hAnsi="Times New Roman" w:eastAsia="宋体" w:cs="Times New Roman"/>
      <w:b/>
      <w:bCs/>
      <w:kern w:val="0"/>
      <w:sz w:val="28"/>
      <w:szCs w:val="28"/>
    </w:rPr>
  </w:style>
  <w:style w:type="character" w:customStyle="1" w:styleId="42">
    <w:name w:val="标题 6 字符"/>
    <w:basedOn w:val="32"/>
    <w:link w:val="7"/>
    <w:qFormat/>
    <w:uiPriority w:val="0"/>
    <w:rPr>
      <w:rFonts w:ascii="Arial" w:hAnsi="Arial" w:eastAsia="黑体" w:cs="Times New Roman"/>
      <w:b/>
      <w:bCs/>
      <w:kern w:val="0"/>
      <w:sz w:val="24"/>
      <w:szCs w:val="24"/>
    </w:rPr>
  </w:style>
  <w:style w:type="character" w:customStyle="1" w:styleId="43">
    <w:name w:val="标题 7 字符"/>
    <w:basedOn w:val="32"/>
    <w:link w:val="8"/>
    <w:qFormat/>
    <w:uiPriority w:val="0"/>
    <w:rPr>
      <w:rFonts w:ascii="Times New Roman" w:hAnsi="Times New Roman" w:eastAsia="宋体" w:cs="Times New Roman"/>
      <w:b/>
      <w:bCs/>
      <w:kern w:val="0"/>
      <w:sz w:val="24"/>
      <w:szCs w:val="24"/>
    </w:rPr>
  </w:style>
  <w:style w:type="character" w:customStyle="1" w:styleId="44">
    <w:name w:val="标题 8 字符"/>
    <w:basedOn w:val="32"/>
    <w:link w:val="9"/>
    <w:qFormat/>
    <w:uiPriority w:val="0"/>
    <w:rPr>
      <w:rFonts w:ascii="Arial" w:hAnsi="Arial" w:eastAsia="黑体" w:cs="Times New Roman"/>
      <w:kern w:val="0"/>
      <w:sz w:val="24"/>
      <w:szCs w:val="24"/>
    </w:rPr>
  </w:style>
  <w:style w:type="character" w:customStyle="1" w:styleId="45">
    <w:name w:val="标题 9 字符"/>
    <w:basedOn w:val="32"/>
    <w:link w:val="10"/>
    <w:qFormat/>
    <w:uiPriority w:val="0"/>
    <w:rPr>
      <w:rFonts w:ascii="Arial" w:hAnsi="Arial" w:eastAsia="黑体" w:cs="Times New Roman"/>
      <w:kern w:val="0"/>
      <w:szCs w:val="21"/>
    </w:rPr>
  </w:style>
  <w:style w:type="character" w:customStyle="1" w:styleId="46">
    <w:name w:val="页眉 字符"/>
    <w:basedOn w:val="32"/>
    <w:link w:val="21"/>
    <w:qFormat/>
    <w:uiPriority w:val="99"/>
    <w:rPr>
      <w:sz w:val="18"/>
      <w:szCs w:val="18"/>
    </w:rPr>
  </w:style>
  <w:style w:type="character" w:customStyle="1" w:styleId="47">
    <w:name w:val="页脚 字符"/>
    <w:basedOn w:val="32"/>
    <w:link w:val="20"/>
    <w:qFormat/>
    <w:uiPriority w:val="99"/>
    <w:rPr>
      <w:sz w:val="18"/>
      <w:szCs w:val="18"/>
    </w:rPr>
  </w:style>
  <w:style w:type="character" w:customStyle="1" w:styleId="48">
    <w:name w:val="批注框文本 字符"/>
    <w:basedOn w:val="32"/>
    <w:link w:val="19"/>
    <w:semiHidden/>
    <w:qFormat/>
    <w:uiPriority w:val="99"/>
    <w:rPr>
      <w:sz w:val="18"/>
      <w:szCs w:val="18"/>
    </w:rPr>
  </w:style>
  <w:style w:type="paragraph" w:styleId="49">
    <w:name w:val="List Paragraph"/>
    <w:basedOn w:val="1"/>
    <w:link w:val="66"/>
    <w:qFormat/>
    <w:uiPriority w:val="34"/>
    <w:pPr>
      <w:ind w:firstLine="420" w:firstLineChars="200"/>
    </w:pPr>
  </w:style>
  <w:style w:type="paragraph" w:customStyle="1" w:styleId="50">
    <w:name w:val="列出段落3"/>
    <w:basedOn w:val="1"/>
    <w:qFormat/>
    <w:uiPriority w:val="99"/>
    <w:pPr>
      <w:ind w:firstLine="420" w:firstLineChars="200"/>
    </w:pPr>
    <w:rPr>
      <w:rFonts w:ascii="Calibri" w:hAnsi="Calibri" w:eastAsia="宋体" w:cs="Times New Roman"/>
    </w:rPr>
  </w:style>
  <w:style w:type="paragraph" w:customStyle="1" w:styleId="51">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52">
    <w:name w:val="批注文字 字符"/>
    <w:link w:val="12"/>
    <w:semiHidden/>
    <w:qFormat/>
    <w:uiPriority w:val="0"/>
    <w:rPr>
      <w:rFonts w:ascii="Times New Roman" w:hAnsi="Times New Roman"/>
      <w:szCs w:val="24"/>
    </w:rPr>
  </w:style>
  <w:style w:type="character" w:customStyle="1" w:styleId="53">
    <w:name w:val="批注文字 字符1"/>
    <w:basedOn w:val="32"/>
    <w:semiHidden/>
    <w:qFormat/>
    <w:uiPriority w:val="99"/>
  </w:style>
  <w:style w:type="paragraph" w:customStyle="1" w:styleId="54">
    <w:name w:val="样式 标题 3h3H3sect1.2.3 + 五号 段前: 6 磅 段后: 6 磅 行距: 单倍行距"/>
    <w:basedOn w:val="4"/>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5">
    <w:name w:val="样式 标题 2 + 宋体 五号 行距: 单倍行距"/>
    <w:basedOn w:val="3"/>
    <w:qFormat/>
    <w:uiPriority w:val="0"/>
    <w:pPr>
      <w:spacing w:line="240" w:lineRule="auto"/>
    </w:pPr>
    <w:rPr>
      <w:rFonts w:ascii="宋体" w:hAnsi="宋体" w:eastAsia="宋体" w:cs="黑体"/>
      <w:sz w:val="21"/>
      <w:szCs w:val="20"/>
    </w:rPr>
  </w:style>
  <w:style w:type="table" w:customStyle="1" w:styleId="5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7">
    <w:name w:val="正文文本 字符"/>
    <w:basedOn w:val="32"/>
    <w:link w:val="13"/>
    <w:qFormat/>
    <w:uiPriority w:val="1"/>
    <w:rPr>
      <w:rFonts w:ascii="宋体" w:hAnsi="宋体" w:eastAsia="宋体" w:cs="宋体"/>
      <w:kern w:val="0"/>
      <w:sz w:val="28"/>
      <w:szCs w:val="28"/>
      <w:lang w:val="zh-CN" w:bidi="zh-CN"/>
    </w:rPr>
  </w:style>
  <w:style w:type="paragraph" w:customStyle="1" w:styleId="58">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9">
    <w:name w:val="_Style 41"/>
    <w:basedOn w:val="1"/>
    <w:next w:val="1"/>
    <w:unhideWhenUsed/>
    <w:qFormat/>
    <w:uiPriority w:val="39"/>
    <w:rPr>
      <w:rFonts w:ascii="宋体" w:hAnsi="宋体" w:eastAsia="宋体" w:cs="宋体"/>
      <w:sz w:val="24"/>
      <w:szCs w:val="24"/>
    </w:rPr>
  </w:style>
  <w:style w:type="paragraph" w:customStyle="1" w:styleId="60">
    <w:name w:val="列出段落11"/>
    <w:basedOn w:val="1"/>
    <w:qFormat/>
    <w:uiPriority w:val="99"/>
    <w:pPr>
      <w:ind w:firstLine="420" w:firstLineChars="200"/>
    </w:pPr>
    <w:rPr>
      <w:rFonts w:ascii="宋体" w:hAnsi="宋体" w:eastAsia="宋体" w:cs="宋体"/>
      <w:sz w:val="24"/>
      <w:szCs w:val="24"/>
    </w:rPr>
  </w:style>
  <w:style w:type="character" w:customStyle="1" w:styleId="61">
    <w:name w:val="页脚 Char"/>
    <w:qFormat/>
    <w:uiPriority w:val="99"/>
    <w:rPr>
      <w:sz w:val="18"/>
      <w:szCs w:val="18"/>
    </w:rPr>
  </w:style>
  <w:style w:type="paragraph" w:customStyle="1" w:styleId="62">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63">
    <w:name w:val="标题 字符"/>
    <w:basedOn w:val="32"/>
    <w:link w:val="26"/>
    <w:qFormat/>
    <w:uiPriority w:val="0"/>
    <w:rPr>
      <w:rFonts w:ascii="Arial" w:hAnsi="Arial" w:eastAsia="宋体" w:cs="Arial"/>
      <w:b/>
      <w:bCs/>
      <w:sz w:val="32"/>
      <w:szCs w:val="32"/>
    </w:rPr>
  </w:style>
  <w:style w:type="character" w:customStyle="1" w:styleId="64">
    <w:name w:val="批注主题 字符"/>
    <w:basedOn w:val="52"/>
    <w:link w:val="27"/>
    <w:semiHidden/>
    <w:qFormat/>
    <w:uiPriority w:val="99"/>
    <w:rPr>
      <w:rFonts w:ascii="Times New Roman" w:hAnsi="Times New Roman"/>
      <w:b/>
      <w:bCs/>
      <w:szCs w:val="24"/>
    </w:rPr>
  </w:style>
  <w:style w:type="paragraph" w:customStyle="1" w:styleId="65">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6">
    <w:name w:val="列表段落 字符"/>
    <w:link w:val="49"/>
    <w:qFormat/>
    <w:locked/>
    <w:uiPriority w:val="34"/>
  </w:style>
  <w:style w:type="paragraph" w:customStyle="1" w:styleId="67">
    <w:name w:val="列出段落4"/>
    <w:basedOn w:val="1"/>
    <w:qFormat/>
    <w:uiPriority w:val="99"/>
    <w:pPr>
      <w:ind w:firstLine="420" w:firstLineChars="200"/>
    </w:pPr>
    <w:rPr>
      <w:rFonts w:ascii="Times New Roman" w:hAnsi="Times New Roman" w:eastAsia="宋体" w:cs="Times New Roman"/>
      <w:szCs w:val="24"/>
    </w:rPr>
  </w:style>
  <w:style w:type="paragraph" w:customStyle="1" w:styleId="68">
    <w:name w:val="样式1"/>
    <w:basedOn w:val="2"/>
    <w:qFormat/>
    <w:uiPriority w:val="0"/>
    <w:pPr>
      <w:spacing w:before="340" w:after="330" w:line="340" w:lineRule="exact"/>
      <w:ind w:right="-20"/>
    </w:pPr>
    <w:rPr>
      <w:rFonts w:hAnsi="宋体" w:eastAsia="仿宋_GB2312" w:cs="Times New Roman"/>
      <w:bCs/>
      <w:kern w:val="0"/>
      <w:szCs w:val="32"/>
    </w:rPr>
  </w:style>
  <w:style w:type="character" w:customStyle="1" w:styleId="69">
    <w:name w:val="fontstyle01"/>
    <w:basedOn w:val="32"/>
    <w:qFormat/>
    <w:uiPriority w:val="0"/>
    <w:rPr>
      <w:rFonts w:hint="default" w:ascii="TimesNewRomanPSMT" w:hAnsi="TimesNewRomanPSMT"/>
      <w:color w:val="000000"/>
      <w:sz w:val="24"/>
      <w:szCs w:val="24"/>
    </w:rPr>
  </w:style>
  <w:style w:type="character" w:customStyle="1" w:styleId="70">
    <w:name w:val="fontstyle11"/>
    <w:basedOn w:val="32"/>
    <w:qFormat/>
    <w:uiPriority w:val="0"/>
    <w:rPr>
      <w:rFonts w:hint="eastAsia" w:ascii="宋体" w:hAnsi="宋体" w:eastAsia="宋体"/>
      <w:color w:val="000000"/>
      <w:sz w:val="24"/>
      <w:szCs w:val="24"/>
    </w:rPr>
  </w:style>
  <w:style w:type="character" w:customStyle="1" w:styleId="71">
    <w:name w:val="font31"/>
    <w:basedOn w:val="32"/>
    <w:qFormat/>
    <w:uiPriority w:val="0"/>
    <w:rPr>
      <w:rFonts w:hint="eastAsia" w:ascii="宋体" w:hAnsi="宋体" w:eastAsia="宋体" w:cs="宋体"/>
      <w:color w:val="000000"/>
      <w:sz w:val="18"/>
      <w:szCs w:val="18"/>
      <w:u w:val="none"/>
    </w:rPr>
  </w:style>
  <w:style w:type="character" w:customStyle="1" w:styleId="72">
    <w:name w:val="font21"/>
    <w:basedOn w:val="32"/>
    <w:qFormat/>
    <w:uiPriority w:val="0"/>
    <w:rPr>
      <w:rFonts w:hint="eastAsia" w:ascii="宋体" w:hAnsi="宋体" w:eastAsia="宋体" w:cs="宋体"/>
      <w:color w:val="000000"/>
      <w:sz w:val="22"/>
      <w:szCs w:val="22"/>
      <w:u w:val="none"/>
    </w:rPr>
  </w:style>
  <w:style w:type="character" w:customStyle="1" w:styleId="73">
    <w:name w:val="不明显参考1"/>
    <w:qFormat/>
    <w:uiPriority w:val="31"/>
    <w:rPr>
      <w:smallCaps/>
      <w:color w:val="C0504D"/>
      <w:u w:val="single"/>
    </w:rPr>
  </w:style>
  <w:style w:type="paragraph" w:customStyle="1" w:styleId="74">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5">
    <w:name w:val="Table Text"/>
    <w:basedOn w:val="1"/>
    <w:semiHidden/>
    <w:qFormat/>
    <w:uiPriority w:val="0"/>
    <w:rPr>
      <w:rFonts w:ascii="宋体" w:hAnsi="宋体" w:eastAsia="宋体" w:cs="宋体"/>
      <w:sz w:val="20"/>
      <w:szCs w:val="20"/>
      <w:lang w:eastAsia="en-US"/>
    </w:rPr>
  </w:style>
  <w:style w:type="paragraph" w:customStyle="1" w:styleId="76">
    <w:name w:val="null5null5"/>
    <w:qFormat/>
    <w:uiPriority w:val="0"/>
    <w:rPr>
      <w:rFonts w:hint="eastAsia" w:ascii="宋体" w:hAnsi="宋体" w:eastAsia="宋体" w:cs="宋体"/>
      <w:sz w:val="24"/>
      <w:szCs w:val="24"/>
      <w:lang w:val="en-US" w:eastAsia="zh-CN"/>
    </w:rPr>
  </w:style>
  <w:style w:type="character" w:customStyle="1" w:styleId="77">
    <w:name w:val="font61"/>
    <w:basedOn w:val="32"/>
    <w:qFormat/>
    <w:uiPriority w:val="0"/>
    <w:rPr>
      <w:rFonts w:hint="eastAsia" w:ascii="宋体" w:hAnsi="宋体" w:eastAsia="宋体" w:cs="宋体"/>
      <w:color w:val="000000"/>
      <w:sz w:val="18"/>
      <w:szCs w:val="18"/>
      <w:u w:val="none"/>
    </w:rPr>
  </w:style>
  <w:style w:type="character" w:customStyle="1" w:styleId="78">
    <w:name w:val="font41"/>
    <w:basedOn w:val="32"/>
    <w:qFormat/>
    <w:uiPriority w:val="0"/>
    <w:rPr>
      <w:rFonts w:hint="default" w:ascii="Times New Roman" w:hAnsi="Times New Roman" w:cs="Times New Roman"/>
      <w:color w:val="000000"/>
      <w:sz w:val="18"/>
      <w:szCs w:val="18"/>
      <w:u w:val="none"/>
    </w:rPr>
  </w:style>
  <w:style w:type="paragraph" w:customStyle="1" w:styleId="79">
    <w:name w:val="样式 宋体 11 磅 加粗 居中 行距: 1.5 倍行距"/>
    <w:basedOn w:val="1"/>
    <w:qFormat/>
    <w:uiPriority w:val="0"/>
    <w:pPr>
      <w:adjustRightInd w:val="0"/>
      <w:snapToGrid w:val="0"/>
      <w:spacing w:line="360" w:lineRule="auto"/>
      <w:jc w:val="center"/>
    </w:pPr>
    <w:rPr>
      <w:rFonts w:ascii="宋体" w:hAnsi="宋体" w:cs="宋体"/>
      <w:b/>
      <w:bCs/>
      <w:snapToGrid w:val="0"/>
      <w:kern w:val="0"/>
      <w:sz w:val="24"/>
      <w:szCs w:val="20"/>
    </w:rPr>
  </w:style>
  <w:style w:type="paragraph" w:customStyle="1" w:styleId="80">
    <w:name w:val="null3"/>
    <w:hidden/>
    <w:qFormat/>
    <w:uiPriority w:val="0"/>
    <w:rPr>
      <w:rFonts w:hint="eastAsia" w:asciiTheme="minorHAnsi" w:hAnsiTheme="minorHAnsi" w:eastAsiaTheme="minorEastAsia" w:cstheme="minorBidi"/>
      <w:lang w:val="en-US" w:eastAsia="zh-Hans"/>
    </w:rPr>
  </w:style>
  <w:style w:type="paragraph" w:customStyle="1" w:styleId="81">
    <w:name w:val="列出段落5"/>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6153</Words>
  <Characters>6321</Characters>
  <Lines>116</Lines>
  <Paragraphs>32</Paragraphs>
  <TotalTime>7</TotalTime>
  <ScaleCrop>false</ScaleCrop>
  <LinksUpToDate>false</LinksUpToDate>
  <CharactersWithSpaces>6720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2025-09-11T05:56:00Z</cp:lastPrinted>
  <dcterms:modified xsi:type="dcterms:W3CDTF">2025-09-12T07:57:23Z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FD9748F7183840EC8F713BFF1EC13D3D</vt:lpwstr>
  </property>
  <property fmtid="{D5CDD505-2E9C-101B-9397-08002B2CF9AE}" pid="4" name="KSOTemplateDocerSaveRecord">
    <vt:lpwstr>eyJoZGlkIjoiOWIzMWIyNjZjNzMyNTA4NGRlZmNlODBlMWQ4ZjQ3YTYifQ==</vt:lpwstr>
  </property>
</Properties>
</file>